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3C08" w14:textId="78789891" w:rsidR="00E57E69" w:rsidRPr="00FD2641" w:rsidRDefault="00FD4186" w:rsidP="00FD2641">
      <w:pPr>
        <w:pStyle w:val="Heading1"/>
      </w:pPr>
      <w:bookmarkStart w:id="0" w:name="_Ref138475444"/>
      <w:bookmarkStart w:id="1" w:name="_Ref138477353"/>
      <w:bookmarkStart w:id="2" w:name="_Toc138496786"/>
      <w:r w:rsidRPr="00FD2641">
        <w:t xml:space="preserve">SUPPLIER AND </w:t>
      </w:r>
      <w:r w:rsidR="00B9016A" w:rsidRPr="00FD2641">
        <w:t>PAYMENT</w:t>
      </w:r>
      <w:r w:rsidR="00FD2641" w:rsidRPr="00FD2641">
        <w:t xml:space="preserve"> </w:t>
      </w:r>
      <w:r w:rsidR="007B37F6" w:rsidRPr="00FD2641">
        <w:t>Procedures</w:t>
      </w:r>
      <w:r w:rsidR="00E57E69" w:rsidRPr="00FD2641">
        <w:t xml:space="preserve"> </w:t>
      </w:r>
      <w:bookmarkEnd w:id="0"/>
      <w:bookmarkEnd w:id="1"/>
      <w:bookmarkEnd w:id="2"/>
      <w:r w:rsidR="009D4AD2">
        <w:t>2022</w:t>
      </w:r>
    </w:p>
    <w:p w14:paraId="34722D2C" w14:textId="77777777" w:rsidR="00B9016A" w:rsidRDefault="00B9016A" w:rsidP="007B37F6">
      <w:pPr>
        <w:tabs>
          <w:tab w:val="left" w:pos="2127"/>
        </w:tabs>
        <w:ind w:left="2127" w:hanging="2127"/>
      </w:pPr>
    </w:p>
    <w:p w14:paraId="268DDBFA" w14:textId="203BB656" w:rsidR="00E57E69" w:rsidRDefault="007B37F6" w:rsidP="007B37F6">
      <w:pPr>
        <w:tabs>
          <w:tab w:val="left" w:pos="2127"/>
        </w:tabs>
        <w:ind w:left="2127" w:hanging="2127"/>
      </w:pPr>
      <w:r>
        <w:t>Issued by:</w:t>
      </w:r>
      <w:r>
        <w:tab/>
      </w:r>
      <w:r w:rsidR="00B9016A">
        <w:t>Chief Financial Officer</w:t>
      </w:r>
    </w:p>
    <w:p w14:paraId="2B3CCB48" w14:textId="5BE5596B" w:rsidR="00E57E69" w:rsidRDefault="00E57E69" w:rsidP="00517FA8">
      <w:pPr>
        <w:pStyle w:val="NormalAdministrativeNotes"/>
      </w:pPr>
      <w:r>
        <w:t>Dated:</w:t>
      </w:r>
      <w:r w:rsidR="00517FA8">
        <w:tab/>
      </w:r>
      <w:r w:rsidR="00A916FE">
        <w:t>9 December 2022 (commencing 12 December 2022)</w:t>
      </w:r>
    </w:p>
    <w:p w14:paraId="4704F1B9" w14:textId="71925D1A" w:rsidR="00534944" w:rsidRDefault="00381C56" w:rsidP="00517FA8">
      <w:pPr>
        <w:pStyle w:val="NormalAdministrativeNotes"/>
      </w:pPr>
      <w:r>
        <w:t>L</w:t>
      </w:r>
      <w:r w:rsidR="00AE324E">
        <w:t>ast a</w:t>
      </w:r>
      <w:r w:rsidR="00534944">
        <w:t>mended:</w:t>
      </w:r>
      <w:r w:rsidR="00534944">
        <w:tab/>
      </w:r>
      <w:r w:rsidR="00AE324E">
        <w:t>19 February 2024 (administrative amendments)</w:t>
      </w:r>
    </w:p>
    <w:p w14:paraId="3B066B4E" w14:textId="77777777" w:rsidR="00E57E69" w:rsidRDefault="00E57E69" w:rsidP="00517FA8">
      <w:pPr>
        <w:pStyle w:val="NormalAdministrativeNotes"/>
      </w:pPr>
      <w:r>
        <w:t>Signature:</w:t>
      </w:r>
      <w:r w:rsidR="00517FA8">
        <w:tab/>
      </w:r>
    </w:p>
    <w:p w14:paraId="004F6AC1" w14:textId="7804346C" w:rsidR="00E57E69" w:rsidRDefault="007B37F6" w:rsidP="00517FA8">
      <w:pPr>
        <w:pStyle w:val="NormalAdministrativeNotes"/>
      </w:pPr>
      <w:r>
        <w:t>Name</w:t>
      </w:r>
      <w:r w:rsidR="00E57E69">
        <w:t>:</w:t>
      </w:r>
      <w:r w:rsidR="00517FA8">
        <w:tab/>
      </w:r>
      <w:r w:rsidR="00B9016A">
        <w:t>Wayne Andrews</w:t>
      </w:r>
    </w:p>
    <w:p w14:paraId="01BF124F" w14:textId="77777777" w:rsidR="00E57E69" w:rsidRDefault="00155112" w:rsidP="00013550">
      <w:pPr>
        <w:tabs>
          <w:tab w:val="left" w:leader="underscore" w:pos="7938"/>
        </w:tabs>
      </w:pPr>
      <w:r>
        <w:tab/>
      </w:r>
    </w:p>
    <w:p w14:paraId="2023EA39" w14:textId="77777777" w:rsidR="00FD4186" w:rsidRDefault="00FD4186" w:rsidP="00FD4186">
      <w:pPr>
        <w:pStyle w:val="Heading2"/>
      </w:pPr>
      <w:bookmarkStart w:id="3" w:name="_Toc115167918"/>
      <w:bookmarkStart w:id="4" w:name="_Toc138496787"/>
      <w:r>
        <w:t>Contents</w:t>
      </w:r>
      <w:bookmarkEnd w:id="3"/>
      <w:r>
        <w:t xml:space="preserve"> </w:t>
      </w:r>
      <w:bookmarkEnd w:id="4"/>
    </w:p>
    <w:p w14:paraId="60B8B1DE" w14:textId="0F0ED129" w:rsidR="00E8190F" w:rsidRDefault="00FD4186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\t "Heading 2,1,Heading 3,2,Heading 4,3,Template instructions Heading 1,2,Part Heading,1" </w:instrText>
      </w:r>
      <w:r>
        <w:fldChar w:fldCharType="separate"/>
      </w:r>
      <w:r w:rsidR="00E8190F">
        <w:rPr>
          <w:noProof/>
        </w:rPr>
        <w:t>Contents</w:t>
      </w:r>
      <w:r w:rsidR="00E8190F">
        <w:rPr>
          <w:noProof/>
        </w:rPr>
        <w:tab/>
      </w:r>
      <w:r w:rsidR="00E8190F">
        <w:rPr>
          <w:noProof/>
        </w:rPr>
        <w:fldChar w:fldCharType="begin"/>
      </w:r>
      <w:r w:rsidR="00E8190F">
        <w:rPr>
          <w:noProof/>
        </w:rPr>
        <w:instrText xml:space="preserve"> PAGEREF _Toc115167918 \h </w:instrText>
      </w:r>
      <w:r w:rsidR="00E8190F">
        <w:rPr>
          <w:noProof/>
        </w:rPr>
      </w:r>
      <w:r w:rsidR="00E8190F">
        <w:rPr>
          <w:noProof/>
        </w:rPr>
        <w:fldChar w:fldCharType="separate"/>
      </w:r>
      <w:r w:rsidR="00381C56">
        <w:rPr>
          <w:noProof/>
        </w:rPr>
        <w:t>1</w:t>
      </w:r>
      <w:r w:rsidR="00E8190F">
        <w:rPr>
          <w:noProof/>
        </w:rPr>
        <w:fldChar w:fldCharType="end"/>
      </w:r>
    </w:p>
    <w:p w14:paraId="288C759B" w14:textId="727C1671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Purpose and 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_Toc115167919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1</w:t>
      </w:r>
      <w:r>
        <w:rPr>
          <w:noProof/>
        </w:rPr>
        <w:fldChar w:fldCharType="end"/>
      </w:r>
    </w:p>
    <w:p w14:paraId="2F887AA0" w14:textId="50F8FE54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_Toc115167920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2</w:t>
      </w:r>
      <w:r>
        <w:rPr>
          <w:noProof/>
        </w:rPr>
        <w:fldChar w:fldCharType="end"/>
      </w:r>
    </w:p>
    <w:p w14:paraId="21D51243" w14:textId="215CC57C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_Toc115167921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2</w:t>
      </w:r>
      <w:r>
        <w:rPr>
          <w:noProof/>
        </w:rPr>
        <w:fldChar w:fldCharType="end"/>
      </w:r>
    </w:p>
    <w:p w14:paraId="062A486B" w14:textId="47B755D9" w:rsidR="00E8190F" w:rsidRDefault="00E8190F">
      <w:pPr>
        <w:pStyle w:val="TOC2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r>
        <w:rPr>
          <w:noProof/>
        </w:rPr>
        <w:t>PART 1 – SUPPLIER DETAILS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_Toc115167922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3</w:t>
      </w:r>
      <w:r>
        <w:rPr>
          <w:noProof/>
        </w:rPr>
        <w:fldChar w:fldCharType="end"/>
      </w:r>
    </w:p>
    <w:p w14:paraId="1F28ED91" w14:textId="49570605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General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_Toc115167923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3</w:t>
      </w:r>
      <w:r>
        <w:rPr>
          <w:noProof/>
        </w:rPr>
        <w:fldChar w:fldCharType="end"/>
      </w:r>
    </w:p>
    <w:p w14:paraId="002E8C1A" w14:textId="429F88ED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Creating a new supplier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_Toc115167924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3</w:t>
      </w:r>
      <w:r>
        <w:rPr>
          <w:noProof/>
        </w:rPr>
        <w:fldChar w:fldCharType="end"/>
      </w:r>
    </w:p>
    <w:p w14:paraId="14C16C4F" w14:textId="3A344319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Amending supplier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_Toc115167925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3</w:t>
      </w:r>
      <w:r>
        <w:rPr>
          <w:noProof/>
        </w:rPr>
        <w:fldChar w:fldCharType="end"/>
      </w:r>
    </w:p>
    <w:p w14:paraId="5B64C247" w14:textId="2CC57CB8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Inactivating a supplier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_Toc115167926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3</w:t>
      </w:r>
      <w:r>
        <w:rPr>
          <w:noProof/>
        </w:rPr>
        <w:fldChar w:fldCharType="end"/>
      </w:r>
    </w:p>
    <w:p w14:paraId="437E131D" w14:textId="6C3A2B22" w:rsidR="00E8190F" w:rsidRDefault="00E8190F">
      <w:pPr>
        <w:pStyle w:val="TOC2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r>
        <w:rPr>
          <w:noProof/>
        </w:rPr>
        <w:t>PART 2 – PAYEE DETAILS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_Toc115167927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4</w:t>
      </w:r>
      <w:r>
        <w:rPr>
          <w:noProof/>
        </w:rPr>
        <w:fldChar w:fldCharType="end"/>
      </w:r>
    </w:p>
    <w:p w14:paraId="56B00C1C" w14:textId="1CFDDEF5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  <w:lang w:eastAsia="en-AU"/>
        </w:rPr>
        <w:t>8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  <w:lang w:eastAsia="en-AU"/>
        </w:rPr>
        <w:t>General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_Toc115167928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4</w:t>
      </w:r>
      <w:r>
        <w:rPr>
          <w:noProof/>
        </w:rPr>
        <w:fldChar w:fldCharType="end"/>
      </w:r>
    </w:p>
    <w:p w14:paraId="3ACD8070" w14:textId="28048272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9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Creating a new payee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_Toc115167929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4</w:t>
      </w:r>
      <w:r>
        <w:rPr>
          <w:noProof/>
        </w:rPr>
        <w:fldChar w:fldCharType="end"/>
      </w:r>
    </w:p>
    <w:p w14:paraId="78C52299" w14:textId="231CDDFD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10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Amending payee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_Toc115167930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4</w:t>
      </w:r>
      <w:r>
        <w:rPr>
          <w:noProof/>
        </w:rPr>
        <w:fldChar w:fldCharType="end"/>
      </w:r>
    </w:p>
    <w:p w14:paraId="3DCD4696" w14:textId="43E152AA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11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Inactivating a payee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_Toc115167931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4</w:t>
      </w:r>
      <w:r>
        <w:rPr>
          <w:noProof/>
        </w:rPr>
        <w:fldChar w:fldCharType="end"/>
      </w:r>
    </w:p>
    <w:p w14:paraId="0719BDD7" w14:textId="790F4832" w:rsidR="00E8190F" w:rsidRDefault="00E8190F">
      <w:pPr>
        <w:pStyle w:val="TOC2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r>
        <w:rPr>
          <w:noProof/>
        </w:rPr>
        <w:t>PART 3 – PAYMENT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_Toc115167932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4</w:t>
      </w:r>
      <w:r>
        <w:rPr>
          <w:noProof/>
        </w:rPr>
        <w:fldChar w:fldCharType="end"/>
      </w:r>
    </w:p>
    <w:p w14:paraId="01949050" w14:textId="06A7F5A9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12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Supplier payments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_Toc115167933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4</w:t>
      </w:r>
      <w:r>
        <w:rPr>
          <w:noProof/>
        </w:rPr>
        <w:fldChar w:fldCharType="end"/>
      </w:r>
    </w:p>
    <w:p w14:paraId="3B71112C" w14:textId="1FBCFD8B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13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Payee payments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_Toc115167934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5</w:t>
      </w:r>
      <w:r>
        <w:rPr>
          <w:noProof/>
        </w:rPr>
        <w:fldChar w:fldCharType="end"/>
      </w:r>
    </w:p>
    <w:p w14:paraId="7BACA318" w14:textId="266A8890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14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Payments originating from other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_Toc115167935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6</w:t>
      </w:r>
      <w:r>
        <w:rPr>
          <w:noProof/>
        </w:rPr>
        <w:fldChar w:fldCharType="end"/>
      </w:r>
    </w:p>
    <w:p w14:paraId="28F9BA6B" w14:textId="556F2778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15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Goods and services tax (GST)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_Toc115167936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6</w:t>
      </w:r>
      <w:r>
        <w:rPr>
          <w:noProof/>
        </w:rPr>
        <w:fldChar w:fldCharType="end"/>
      </w:r>
    </w:p>
    <w:p w14:paraId="0F716787" w14:textId="4513BE9A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16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Payments to suppliers and payees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_Toc115167937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6</w:t>
      </w:r>
      <w:r>
        <w:rPr>
          <w:noProof/>
        </w:rPr>
        <w:fldChar w:fldCharType="end"/>
      </w:r>
    </w:p>
    <w:p w14:paraId="0C9D528E" w14:textId="5D014524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17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Retention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_Toc115167938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7</w:t>
      </w:r>
      <w:r>
        <w:rPr>
          <w:noProof/>
        </w:rPr>
        <w:fldChar w:fldCharType="end"/>
      </w:r>
    </w:p>
    <w:p w14:paraId="0A74C105" w14:textId="17E07171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18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_Toc115167939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7</w:t>
      </w:r>
      <w:r>
        <w:rPr>
          <w:noProof/>
        </w:rPr>
        <w:fldChar w:fldCharType="end"/>
      </w:r>
    </w:p>
    <w:p w14:paraId="3C1D8F78" w14:textId="1D9F13D2" w:rsidR="00E8190F" w:rsidRDefault="00E8190F">
      <w:pPr>
        <w:pStyle w:val="TOC3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noProof/>
        </w:rPr>
        <w:t>19</w:t>
      </w:r>
      <w:r>
        <w:rPr>
          <w:rFonts w:asciiTheme="minorHAnsi" w:eastAsiaTheme="minorEastAsia" w:hAnsiTheme="minorHAnsi"/>
          <w:noProof/>
          <w:sz w:val="22"/>
          <w:szCs w:val="22"/>
          <w:lang w:eastAsia="en-AU"/>
        </w:rPr>
        <w:tab/>
      </w:r>
      <w:r>
        <w:rPr>
          <w:noProof/>
        </w:rPr>
        <w:t>Rescissions and replacements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_Toc115167940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8</w:t>
      </w:r>
      <w:r>
        <w:rPr>
          <w:noProof/>
        </w:rPr>
        <w:fldChar w:fldCharType="end"/>
      </w:r>
    </w:p>
    <w:p w14:paraId="5515C057" w14:textId="691FF3E4" w:rsidR="00E8190F" w:rsidRDefault="00E8190F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  <w:lang w:eastAsia="en-AU"/>
        </w:rPr>
      </w:pPr>
      <w:r>
        <w:rPr>
          <w:noProof/>
        </w:rPr>
        <w:t>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_Toc115167941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8</w:t>
      </w:r>
      <w:r>
        <w:rPr>
          <w:noProof/>
        </w:rPr>
        <w:fldChar w:fldCharType="end"/>
      </w:r>
    </w:p>
    <w:p w14:paraId="3E80A9F7" w14:textId="6463A460" w:rsidR="00E8190F" w:rsidRDefault="00E8190F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  <w:lang w:eastAsia="en-AU"/>
        </w:rPr>
      </w:pPr>
      <w:r>
        <w:rPr>
          <w:noProof/>
        </w:rPr>
        <w:t>Amendment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_Toc115167942 \h </w:instrText>
      </w:r>
      <w:r>
        <w:rPr>
          <w:noProof/>
        </w:rPr>
      </w:r>
      <w:r>
        <w:rPr>
          <w:noProof/>
        </w:rPr>
        <w:fldChar w:fldCharType="separate"/>
      </w:r>
      <w:r w:rsidR="00381C56">
        <w:rPr>
          <w:noProof/>
        </w:rPr>
        <w:t>8</w:t>
      </w:r>
      <w:r>
        <w:rPr>
          <w:noProof/>
        </w:rPr>
        <w:fldChar w:fldCharType="end"/>
      </w:r>
    </w:p>
    <w:p w14:paraId="6D7F9B16" w14:textId="690532D5" w:rsidR="00FD2641" w:rsidRDefault="00FD4186" w:rsidP="009D4AD2">
      <w:pPr>
        <w:pStyle w:val="TOC1"/>
      </w:pPr>
      <w:r>
        <w:fldChar w:fldCharType="end"/>
      </w:r>
    </w:p>
    <w:p w14:paraId="1A2E09EA" w14:textId="6BBE0E03" w:rsidR="00E57E69" w:rsidRPr="00155112" w:rsidRDefault="00155112" w:rsidP="00013550">
      <w:pPr>
        <w:pStyle w:val="Heading4"/>
      </w:pPr>
      <w:bookmarkStart w:id="5" w:name="_Toc115167919"/>
      <w:r>
        <w:t>1</w:t>
      </w:r>
      <w:r>
        <w:tab/>
      </w:r>
      <w:r w:rsidR="00AE6B07">
        <w:t>Purpose and application</w:t>
      </w:r>
      <w:bookmarkEnd w:id="5"/>
    </w:p>
    <w:p w14:paraId="75AB5E31" w14:textId="10404BA7" w:rsidR="00AE6B07" w:rsidRPr="00AE6B07" w:rsidRDefault="00AE6B07" w:rsidP="00AE6B07">
      <w:pPr>
        <w:pStyle w:val="NumberedFirstLevel"/>
      </w:pPr>
      <w:r w:rsidRPr="00AE6B07">
        <w:t xml:space="preserve">These procedures are to give effect to the </w:t>
      </w:r>
      <w:hyperlink r:id="rId11" w:history="1">
        <w:r w:rsidR="00B9016A" w:rsidRPr="00B9016A">
          <w:rPr>
            <w:rStyle w:val="Hyperlink"/>
            <w:i/>
            <w:iCs/>
          </w:rPr>
          <w:t>Procurement Policy 2019</w:t>
        </w:r>
      </w:hyperlink>
      <w:r w:rsidRPr="00AE6B07">
        <w:t xml:space="preserve"> (“the policy”).</w:t>
      </w:r>
    </w:p>
    <w:p w14:paraId="3849C47D" w14:textId="5C165745" w:rsidR="00E844B7" w:rsidRDefault="00AE6B07" w:rsidP="00AE6B07">
      <w:pPr>
        <w:pStyle w:val="NumberedFirstLevel"/>
      </w:pPr>
      <w:r w:rsidRPr="00AE6B07">
        <w:t>These procedures apply to</w:t>
      </w:r>
      <w:r w:rsidR="00E5416F">
        <w:t xml:space="preserve"> </w:t>
      </w:r>
      <w:r w:rsidR="00286448">
        <w:t>the</w:t>
      </w:r>
      <w:r w:rsidR="00E844B7">
        <w:t>:</w:t>
      </w:r>
    </w:p>
    <w:p w14:paraId="42BF7F63" w14:textId="77777777" w:rsidR="00B45DDF" w:rsidRDefault="00E844B7" w:rsidP="00FD2641">
      <w:pPr>
        <w:pStyle w:val="NumberedSecondLevel"/>
      </w:pPr>
      <w:r>
        <w:t xml:space="preserve">creation, amendment and inactivation of supplier details; </w:t>
      </w:r>
    </w:p>
    <w:p w14:paraId="6FBC2AFC" w14:textId="5742DCFE" w:rsidR="00E844B7" w:rsidRDefault="00B45DDF" w:rsidP="00FD2641">
      <w:pPr>
        <w:pStyle w:val="NumberedSecondLevel"/>
      </w:pPr>
      <w:r>
        <w:lastRenderedPageBreak/>
        <w:t xml:space="preserve">creation, amendment and inactivation of payee details; </w:t>
      </w:r>
      <w:r w:rsidR="00E844B7">
        <w:t>and</w:t>
      </w:r>
    </w:p>
    <w:p w14:paraId="4A497E87" w14:textId="58BC1623" w:rsidR="00AE6B07" w:rsidRPr="00AE6B07" w:rsidRDefault="00E5416F" w:rsidP="00E844B7">
      <w:pPr>
        <w:pStyle w:val="NumberedSecondLevel"/>
      </w:pPr>
      <w:r>
        <w:t>payments for</w:t>
      </w:r>
      <w:r w:rsidR="00AE6B07" w:rsidRPr="00AE6B07">
        <w:t>:</w:t>
      </w:r>
    </w:p>
    <w:p w14:paraId="0087DD49" w14:textId="0B887938" w:rsidR="00AE6B07" w:rsidRDefault="00E5416F" w:rsidP="00E844B7">
      <w:pPr>
        <w:pStyle w:val="NumberedThirdLevel"/>
      </w:pPr>
      <w:r>
        <w:t>purchase orders</w:t>
      </w:r>
      <w:r w:rsidR="004F5A8A">
        <w:t>, through the UniBuy procurement system</w:t>
      </w:r>
      <w:r>
        <w:t>;</w:t>
      </w:r>
    </w:p>
    <w:p w14:paraId="0E837ED3" w14:textId="6513EA26" w:rsidR="00AE6B07" w:rsidRDefault="001D2947" w:rsidP="00E844B7">
      <w:pPr>
        <w:pStyle w:val="NumberedThirdLevel"/>
      </w:pPr>
      <w:r>
        <w:t xml:space="preserve">non-purchase order </w:t>
      </w:r>
      <w:r w:rsidR="00E5416F">
        <w:t>payment requests</w:t>
      </w:r>
      <w:r w:rsidR="00B271C7">
        <w:t>, through the UniBuy proc</w:t>
      </w:r>
      <w:r w:rsidR="00120D13">
        <w:t>urement system</w:t>
      </w:r>
      <w:r w:rsidR="006B644F">
        <w:t>; and</w:t>
      </w:r>
    </w:p>
    <w:p w14:paraId="59AEDC31" w14:textId="42AA2DEF" w:rsidR="006B644F" w:rsidRDefault="006B644F" w:rsidP="00E844B7">
      <w:pPr>
        <w:pStyle w:val="NumberedThirdLevel"/>
      </w:pPr>
      <w:r>
        <w:t>other system generated payments.</w:t>
      </w:r>
    </w:p>
    <w:p w14:paraId="15B0EEE9" w14:textId="601EE468" w:rsidR="00E844B7" w:rsidRDefault="00E844B7" w:rsidP="00E844B7">
      <w:pPr>
        <w:pStyle w:val="NormalNotes"/>
        <w:ind w:left="1170" w:hanging="630"/>
      </w:pPr>
      <w:r w:rsidRPr="00E844B7">
        <w:rPr>
          <w:b/>
          <w:bCs/>
        </w:rPr>
        <w:t>Note:</w:t>
      </w:r>
      <w:r>
        <w:tab/>
        <w:t xml:space="preserve">Supplier details in the </w:t>
      </w:r>
      <w:r w:rsidR="000669F8">
        <w:t xml:space="preserve">finance </w:t>
      </w:r>
      <w:r>
        <w:t>system are also used in the UniBuy procurement system.</w:t>
      </w:r>
    </w:p>
    <w:p w14:paraId="7A209D57" w14:textId="77777777" w:rsidR="00FC0779" w:rsidRDefault="00E5416F" w:rsidP="00E5416F">
      <w:pPr>
        <w:pStyle w:val="NumberedFirstLevel"/>
      </w:pPr>
      <w:r>
        <w:t>These procedures do not apply to payments made through the University’s</w:t>
      </w:r>
      <w:r w:rsidR="00FC0779">
        <w:t>:</w:t>
      </w:r>
    </w:p>
    <w:p w14:paraId="12EDB20C" w14:textId="6A67DC4D" w:rsidR="00E5416F" w:rsidRDefault="00E5416F" w:rsidP="00FC0779">
      <w:pPr>
        <w:pStyle w:val="NumberedSecondLevel"/>
      </w:pPr>
      <w:r>
        <w:t>human resources payroll system</w:t>
      </w:r>
      <w:r w:rsidR="00FC0779">
        <w:t>; and</w:t>
      </w:r>
    </w:p>
    <w:p w14:paraId="2D7B5A87" w14:textId="30276E48" w:rsidR="00FC0779" w:rsidRDefault="00FC0779" w:rsidP="00FC0779">
      <w:pPr>
        <w:pStyle w:val="NumberedSecondLevel"/>
      </w:pPr>
      <w:r>
        <w:t>travel and expense management system</w:t>
      </w:r>
      <w:r w:rsidR="001C7A4F">
        <w:t>, including corporate card</w:t>
      </w:r>
      <w:r w:rsidR="000F1DF4">
        <w:t xml:space="preserve"> and </w:t>
      </w:r>
      <w:r w:rsidR="00144C83">
        <w:t xml:space="preserve">expense reimbursement payments to University staff and </w:t>
      </w:r>
      <w:r w:rsidR="00176CD7">
        <w:t>higher degree research</w:t>
      </w:r>
      <w:r w:rsidR="00144C83">
        <w:t xml:space="preserve"> students</w:t>
      </w:r>
      <w:r>
        <w:t>.</w:t>
      </w:r>
    </w:p>
    <w:p w14:paraId="09EA8ABD" w14:textId="69EF93C6" w:rsidR="00D60EBF" w:rsidRPr="00AE6B07" w:rsidRDefault="00D60EBF" w:rsidP="00D60EBF">
      <w:pPr>
        <w:pStyle w:val="NormalNotes"/>
        <w:ind w:left="1170" w:hanging="630"/>
      </w:pPr>
      <w:r w:rsidRPr="00D60EBF">
        <w:rPr>
          <w:b/>
          <w:bCs/>
        </w:rPr>
        <w:t>Note:</w:t>
      </w:r>
      <w:r>
        <w:t xml:space="preserve"> </w:t>
      </w:r>
      <w:r>
        <w:tab/>
        <w:t xml:space="preserve">Refer to the </w:t>
      </w:r>
      <w:hyperlink r:id="rId12" w:history="1">
        <w:r w:rsidRPr="007B19F3">
          <w:rPr>
            <w:rStyle w:val="Hyperlink"/>
            <w:i/>
            <w:iCs/>
          </w:rPr>
          <w:t>Travel Policy 2018</w:t>
        </w:r>
      </w:hyperlink>
      <w:r>
        <w:t xml:space="preserve">, </w:t>
      </w:r>
      <w:hyperlink r:id="rId13" w:history="1">
        <w:r w:rsidRPr="007B19F3">
          <w:rPr>
            <w:rStyle w:val="Hyperlink"/>
            <w:i/>
            <w:iCs/>
          </w:rPr>
          <w:t>Travel Procedures 2018</w:t>
        </w:r>
      </w:hyperlink>
      <w:r>
        <w:t xml:space="preserve"> and </w:t>
      </w:r>
      <w:hyperlink r:id="rId14" w:history="1">
        <w:r w:rsidRPr="007B19F3">
          <w:rPr>
            <w:rStyle w:val="Hyperlink"/>
            <w:i/>
            <w:iCs/>
          </w:rPr>
          <w:t>Corporate Card Procedures 2019</w:t>
        </w:r>
      </w:hyperlink>
      <w:r>
        <w:t>.</w:t>
      </w:r>
    </w:p>
    <w:p w14:paraId="65A5241D" w14:textId="77777777" w:rsidR="00E57E69" w:rsidRDefault="00155112" w:rsidP="00AE6B07">
      <w:pPr>
        <w:pStyle w:val="Heading4"/>
      </w:pPr>
      <w:bookmarkStart w:id="6" w:name="_Toc115167920"/>
      <w:r>
        <w:t>2</w:t>
      </w:r>
      <w:r>
        <w:tab/>
      </w:r>
      <w:r w:rsidR="00E57E69">
        <w:t>Commencement</w:t>
      </w:r>
      <w:bookmarkEnd w:id="6"/>
    </w:p>
    <w:p w14:paraId="4C259CB0" w14:textId="153E9ADD" w:rsidR="00E57E69" w:rsidRPr="00013550" w:rsidRDefault="00AE6B07" w:rsidP="00013550">
      <w:r>
        <w:t xml:space="preserve">These procedures </w:t>
      </w:r>
      <w:r w:rsidR="00E57E69" w:rsidRPr="00013550">
        <w:t>commence on</w:t>
      </w:r>
      <w:r w:rsidR="0033190D">
        <w:t xml:space="preserve"> </w:t>
      </w:r>
      <w:r w:rsidR="00A916FE">
        <w:t>12 December 2022.</w:t>
      </w:r>
    </w:p>
    <w:p w14:paraId="59F8E3AD" w14:textId="77777777" w:rsidR="00E57E69" w:rsidRDefault="00155112" w:rsidP="00013550">
      <w:pPr>
        <w:pStyle w:val="Heading4"/>
      </w:pPr>
      <w:bookmarkStart w:id="7" w:name="_Toc115167921"/>
      <w:r>
        <w:t>3</w:t>
      </w:r>
      <w:r>
        <w:tab/>
      </w:r>
      <w:r w:rsidR="001A7370">
        <w:t>Interpretation</w:t>
      </w:r>
      <w:bookmarkEnd w:id="7"/>
    </w:p>
    <w:p w14:paraId="7EAA4C2E" w14:textId="77777777" w:rsidR="001A7370" w:rsidRPr="001A7370" w:rsidRDefault="001A7370" w:rsidP="001A7370">
      <w:pPr>
        <w:pStyle w:val="NumberedFirstLevel"/>
        <w:numPr>
          <w:ilvl w:val="1"/>
          <w:numId w:val="15"/>
        </w:numPr>
      </w:pPr>
      <w:r w:rsidRPr="001A7370">
        <w:t>Words and phrases used in these procedures and not otherwise defined in this document have the meanings they have in the policy.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71"/>
        <w:gridCol w:w="6165"/>
      </w:tblGrid>
      <w:tr w:rsidR="0060307B" w14:paraId="0A1F1C69" w14:textId="77777777" w:rsidTr="00B9161C">
        <w:tc>
          <w:tcPr>
            <w:tcW w:w="1771" w:type="dxa"/>
          </w:tcPr>
          <w:p w14:paraId="42337D2A" w14:textId="663372C7" w:rsidR="0060307B" w:rsidRDefault="0060307B" w:rsidP="004F5A8A">
            <w:pPr>
              <w:rPr>
                <w:b/>
              </w:rPr>
            </w:pPr>
            <w:r>
              <w:rPr>
                <w:b/>
              </w:rPr>
              <w:t>ABN</w:t>
            </w:r>
          </w:p>
        </w:tc>
        <w:tc>
          <w:tcPr>
            <w:tcW w:w="6165" w:type="dxa"/>
          </w:tcPr>
          <w:p w14:paraId="4C559417" w14:textId="3D76C328" w:rsidR="0060307B" w:rsidRDefault="0060307B" w:rsidP="0034075B">
            <w:r>
              <w:t>means Australian Business Number, which is a unique identifier issued by the Australian Business Register, operated by the Australian Taxation Office.</w:t>
            </w:r>
          </w:p>
        </w:tc>
      </w:tr>
      <w:tr w:rsidR="00FB5308" w14:paraId="5042F048" w14:textId="77777777" w:rsidTr="00B9161C">
        <w:tc>
          <w:tcPr>
            <w:tcW w:w="1771" w:type="dxa"/>
          </w:tcPr>
          <w:p w14:paraId="56524D58" w14:textId="7AF9E3AD" w:rsidR="00FB5308" w:rsidRDefault="00FB5308" w:rsidP="004F5A8A">
            <w:pPr>
              <w:rPr>
                <w:b/>
              </w:rPr>
            </w:pPr>
            <w:r>
              <w:rPr>
                <w:b/>
              </w:rPr>
              <w:t>GST</w:t>
            </w:r>
          </w:p>
        </w:tc>
        <w:tc>
          <w:tcPr>
            <w:tcW w:w="6165" w:type="dxa"/>
          </w:tcPr>
          <w:p w14:paraId="2E6E15B1" w14:textId="716E134B" w:rsidR="00FB5308" w:rsidRDefault="00FB5308" w:rsidP="0034075B">
            <w:r>
              <w:t>means goods and services tax.</w:t>
            </w:r>
          </w:p>
        </w:tc>
      </w:tr>
      <w:tr w:rsidR="00791C33" w14:paraId="1A3C19ED" w14:textId="77777777" w:rsidTr="00B9161C">
        <w:tc>
          <w:tcPr>
            <w:tcW w:w="1771" w:type="dxa"/>
          </w:tcPr>
          <w:p w14:paraId="7ABE07D8" w14:textId="0DB6E86C" w:rsidR="00791C33" w:rsidRPr="00967A40" w:rsidRDefault="00791C33" w:rsidP="004F5A8A">
            <w:pPr>
              <w:rPr>
                <w:b/>
              </w:rPr>
            </w:pPr>
            <w:r w:rsidRPr="00967A40">
              <w:rPr>
                <w:b/>
              </w:rPr>
              <w:t>honorarium</w:t>
            </w:r>
          </w:p>
        </w:tc>
        <w:tc>
          <w:tcPr>
            <w:tcW w:w="6165" w:type="dxa"/>
          </w:tcPr>
          <w:p w14:paraId="673FEB8B" w14:textId="3C8B7CA0" w:rsidR="00791C33" w:rsidRPr="00967A40" w:rsidRDefault="00791C33" w:rsidP="0034075B">
            <w:r w:rsidRPr="00967A40">
              <w:t xml:space="preserve">means an </w:t>
            </w:r>
            <w:r w:rsidR="001F42D1" w:rsidRPr="00967A40">
              <w:t>honorary</w:t>
            </w:r>
            <w:r w:rsidRPr="00967A40">
              <w:t xml:space="preserve"> payment to an individual </w:t>
            </w:r>
            <w:r w:rsidR="001F42D1" w:rsidRPr="00967A40">
              <w:t xml:space="preserve">in recognition of </w:t>
            </w:r>
            <w:r w:rsidRPr="00967A40">
              <w:t xml:space="preserve">services </w:t>
            </w:r>
            <w:r w:rsidR="003470F4">
              <w:t>volunta</w:t>
            </w:r>
            <w:r w:rsidR="00C63B85">
              <w:t xml:space="preserve">rily </w:t>
            </w:r>
            <w:r w:rsidRPr="00967A40">
              <w:t>provided</w:t>
            </w:r>
            <w:r w:rsidR="001F42D1" w:rsidRPr="00967A40">
              <w:t xml:space="preserve"> to the University without </w:t>
            </w:r>
            <w:r w:rsidR="00547356" w:rsidRPr="00967A40">
              <w:t>expectation of payment</w:t>
            </w:r>
            <w:r w:rsidRPr="00967A40">
              <w:t xml:space="preserve">. </w:t>
            </w:r>
            <w:r w:rsidR="00547356" w:rsidRPr="00967A40">
              <w:t>An h</w:t>
            </w:r>
            <w:r w:rsidRPr="00967A40">
              <w:t>onorari</w:t>
            </w:r>
            <w:r w:rsidR="00547356" w:rsidRPr="00967A40">
              <w:t>um</w:t>
            </w:r>
            <w:r w:rsidRPr="00967A40">
              <w:t xml:space="preserve"> </w:t>
            </w:r>
            <w:r w:rsidR="00547356" w:rsidRPr="00967A40">
              <w:t>is</w:t>
            </w:r>
            <w:r w:rsidRPr="00967A40">
              <w:t xml:space="preserve"> generally provided to help cover costs for volunteers</w:t>
            </w:r>
            <w:r w:rsidR="006A68A8">
              <w:t xml:space="preserve"> and</w:t>
            </w:r>
            <w:r w:rsidRPr="00967A40">
              <w:t xml:space="preserve"> guest speakers</w:t>
            </w:r>
            <w:r w:rsidR="001F42D1" w:rsidRPr="00967A40">
              <w:t>.</w:t>
            </w:r>
          </w:p>
        </w:tc>
      </w:tr>
      <w:tr w:rsidR="00A03AFD" w14:paraId="19F8187D" w14:textId="77777777" w:rsidTr="00B9161C">
        <w:tc>
          <w:tcPr>
            <w:tcW w:w="1771" w:type="dxa"/>
          </w:tcPr>
          <w:p w14:paraId="0267849B" w14:textId="2DBEDD2C" w:rsidR="00A03AFD" w:rsidRDefault="00A03AFD" w:rsidP="004F5A8A">
            <w:pPr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6165" w:type="dxa"/>
          </w:tcPr>
          <w:p w14:paraId="5856EE12" w14:textId="721F6C0F" w:rsidR="00A03AFD" w:rsidRDefault="00315072" w:rsidP="0034075B">
            <w:r>
              <w:t>means an individual or organisation to whom or to which the University makes a payment</w:t>
            </w:r>
            <w:r w:rsidR="002D4A8B">
              <w:t>, other than a supplier of goods and services.</w:t>
            </w:r>
          </w:p>
        </w:tc>
      </w:tr>
      <w:tr w:rsidR="000A0D47" w14:paraId="0628DBDA" w14:textId="77777777" w:rsidTr="00B9161C">
        <w:tc>
          <w:tcPr>
            <w:tcW w:w="1771" w:type="dxa"/>
          </w:tcPr>
          <w:p w14:paraId="4A9B216D" w14:textId="765224B1" w:rsidR="000A0D47" w:rsidRDefault="000A0D47" w:rsidP="004F5A8A">
            <w:pPr>
              <w:rPr>
                <w:b/>
              </w:rPr>
            </w:pPr>
            <w:r>
              <w:rPr>
                <w:b/>
              </w:rPr>
              <w:t>supplier</w:t>
            </w:r>
          </w:p>
        </w:tc>
        <w:tc>
          <w:tcPr>
            <w:tcW w:w="6165" w:type="dxa"/>
          </w:tcPr>
          <w:p w14:paraId="3C5E3BCC" w14:textId="74AA33F9" w:rsidR="000A0D47" w:rsidRDefault="000A0D47" w:rsidP="0034075B">
            <w:r>
              <w:t xml:space="preserve">means an organisation supplying goods and services to the University, that has provided their ABN or </w:t>
            </w:r>
            <w:r w:rsidR="007F239C">
              <w:t>a completed</w:t>
            </w:r>
            <w:r>
              <w:t xml:space="preserve"> Australian Tax Office </w:t>
            </w:r>
            <w:r w:rsidRPr="007F239C">
              <w:rPr>
                <w:i/>
                <w:iCs/>
              </w:rPr>
              <w:t xml:space="preserve">Statement by </w:t>
            </w:r>
            <w:r w:rsidR="00EF2E2E">
              <w:rPr>
                <w:i/>
                <w:iCs/>
              </w:rPr>
              <w:t>S</w:t>
            </w:r>
            <w:r w:rsidRPr="007F239C">
              <w:rPr>
                <w:i/>
                <w:iCs/>
              </w:rPr>
              <w:t>upplier</w:t>
            </w:r>
            <w:r>
              <w:t xml:space="preserve"> </w:t>
            </w:r>
            <w:r w:rsidR="007F239C">
              <w:t xml:space="preserve">form </w:t>
            </w:r>
            <w:r>
              <w:t>to the University.</w:t>
            </w:r>
          </w:p>
        </w:tc>
      </w:tr>
      <w:tr w:rsidR="001A7370" w14:paraId="3E0576A2" w14:textId="77777777" w:rsidTr="00B9161C">
        <w:tc>
          <w:tcPr>
            <w:tcW w:w="1771" w:type="dxa"/>
          </w:tcPr>
          <w:p w14:paraId="6B5FB249" w14:textId="61482E4E" w:rsidR="001A7370" w:rsidRPr="00013550" w:rsidRDefault="00027DCC" w:rsidP="004F5A8A">
            <w:pPr>
              <w:rPr>
                <w:b/>
              </w:rPr>
            </w:pPr>
            <w:r>
              <w:rPr>
                <w:b/>
              </w:rPr>
              <w:t>supplier tax invoice</w:t>
            </w:r>
          </w:p>
        </w:tc>
        <w:tc>
          <w:tcPr>
            <w:tcW w:w="6165" w:type="dxa"/>
          </w:tcPr>
          <w:p w14:paraId="6060762E" w14:textId="77777777" w:rsidR="00FB5308" w:rsidRDefault="001A7370" w:rsidP="00FB5308">
            <w:r w:rsidRPr="005F1996">
              <w:t xml:space="preserve">means </w:t>
            </w:r>
            <w:r w:rsidR="00027DCC">
              <w:t>an invoice</w:t>
            </w:r>
            <w:r w:rsidR="00FB5308">
              <w:t>:</w:t>
            </w:r>
          </w:p>
          <w:p w14:paraId="5635FB17" w14:textId="67229C92" w:rsidR="00FB5308" w:rsidRDefault="00027DCC" w:rsidP="00FB5308">
            <w:pPr>
              <w:pStyle w:val="NormalDotPoint"/>
            </w:pPr>
            <w:r>
              <w:t>from an external party that has supplied goods and services</w:t>
            </w:r>
            <w:r w:rsidR="00FB5308">
              <w:t>;</w:t>
            </w:r>
          </w:p>
          <w:p w14:paraId="39CB3246" w14:textId="2C63F444" w:rsidR="00FB5308" w:rsidRDefault="00027DCC" w:rsidP="00FB5308">
            <w:pPr>
              <w:pStyle w:val="NormalDotPoint"/>
            </w:pPr>
            <w:r>
              <w:t xml:space="preserve">that is compliant with the </w:t>
            </w:r>
            <w:hyperlink r:id="rId15" w:history="1">
              <w:r w:rsidR="00FB5308" w:rsidRPr="00FB5308">
                <w:rPr>
                  <w:rStyle w:val="Hyperlink"/>
                  <w:i/>
                  <w:iCs/>
                </w:rPr>
                <w:t>A New Tax System (Goods and Services</w:t>
              </w:r>
              <w:r w:rsidR="00B919F3">
                <w:rPr>
                  <w:rStyle w:val="Hyperlink"/>
                  <w:i/>
                  <w:iCs/>
                </w:rPr>
                <w:t xml:space="preserve"> Tax</w:t>
              </w:r>
              <w:r w:rsidR="00FB5308" w:rsidRPr="00FB5308">
                <w:rPr>
                  <w:rStyle w:val="Hyperlink"/>
                  <w:i/>
                  <w:iCs/>
                </w:rPr>
                <w:t>) Act 1999 (Cth)</w:t>
              </w:r>
            </w:hyperlink>
            <w:r w:rsidR="00FB5308">
              <w:rPr>
                <w:i/>
                <w:iCs/>
              </w:rPr>
              <w:t xml:space="preserve">; </w:t>
            </w:r>
            <w:r w:rsidR="003D7B20">
              <w:t xml:space="preserve">and </w:t>
            </w:r>
          </w:p>
          <w:p w14:paraId="5147794E" w14:textId="0B7C4762" w:rsidR="00027DCC" w:rsidRPr="005F1996" w:rsidRDefault="003D7B20" w:rsidP="00A952D2">
            <w:pPr>
              <w:pStyle w:val="NormalDotPoint"/>
            </w:pPr>
            <w:r>
              <w:t>that includes a unique supplier invoice number</w:t>
            </w:r>
            <w:r w:rsidR="00027DCC">
              <w:t>.</w:t>
            </w:r>
          </w:p>
        </w:tc>
      </w:tr>
    </w:tbl>
    <w:p w14:paraId="7069FE18" w14:textId="5CCEE42E" w:rsidR="00537A1F" w:rsidRPr="00537A1F" w:rsidRDefault="00537A1F" w:rsidP="00537A1F">
      <w:pPr>
        <w:pStyle w:val="Heading3"/>
      </w:pPr>
      <w:bookmarkStart w:id="8" w:name="_Toc115167922"/>
      <w:r w:rsidRPr="00537A1F">
        <w:lastRenderedPageBreak/>
        <w:t xml:space="preserve">PART 1 </w:t>
      </w:r>
      <w:r w:rsidR="0020606D">
        <w:t>–</w:t>
      </w:r>
      <w:r w:rsidRPr="00537A1F">
        <w:t xml:space="preserve"> SUPPLIER</w:t>
      </w:r>
      <w:r w:rsidR="0020606D">
        <w:t xml:space="preserve"> </w:t>
      </w:r>
      <w:r w:rsidR="00785BEB">
        <w:t xml:space="preserve">DETAILS </w:t>
      </w:r>
      <w:r w:rsidR="0020606D">
        <w:t>MANAGEMENT</w:t>
      </w:r>
      <w:bookmarkEnd w:id="8"/>
    </w:p>
    <w:p w14:paraId="55A7C813" w14:textId="77777777" w:rsidR="00E844B7" w:rsidRDefault="00E844B7" w:rsidP="00E844B7">
      <w:pPr>
        <w:pStyle w:val="Heading4"/>
      </w:pPr>
      <w:bookmarkStart w:id="9" w:name="_Toc115167923"/>
      <w:bookmarkStart w:id="10" w:name="_Toc443380768"/>
      <w:r>
        <w:t>4</w:t>
      </w:r>
      <w:r>
        <w:tab/>
        <w:t>General principles</w:t>
      </w:r>
      <w:bookmarkEnd w:id="9"/>
    </w:p>
    <w:p w14:paraId="31C2BDB7" w14:textId="2AC9DA02" w:rsidR="004F5A8A" w:rsidRPr="00017830" w:rsidRDefault="00FB5308" w:rsidP="00337FC9">
      <w:pPr>
        <w:pStyle w:val="NumberedFirstLevel"/>
        <w:numPr>
          <w:ilvl w:val="0"/>
          <w:numId w:val="0"/>
        </w:numPr>
      </w:pPr>
      <w:r>
        <w:rPr>
          <w:iCs/>
        </w:rPr>
        <w:t>T</w:t>
      </w:r>
      <w:r w:rsidR="00E844B7">
        <w:rPr>
          <w:iCs/>
        </w:rPr>
        <w:t xml:space="preserve">he </w:t>
      </w:r>
      <w:r w:rsidR="000669F8">
        <w:rPr>
          <w:iCs/>
        </w:rPr>
        <w:t>Procurement Enablement</w:t>
      </w:r>
      <w:r w:rsidR="00E844B7">
        <w:rPr>
          <w:iCs/>
        </w:rPr>
        <w:t xml:space="preserve"> Team</w:t>
      </w:r>
      <w:r>
        <w:rPr>
          <w:iCs/>
        </w:rPr>
        <w:t xml:space="preserve"> manages supplier details in the University’s finance system.</w:t>
      </w:r>
    </w:p>
    <w:p w14:paraId="1AE3C5C0" w14:textId="7F051519" w:rsidR="00E844B7" w:rsidRDefault="00E844B7" w:rsidP="00E844B7">
      <w:pPr>
        <w:pStyle w:val="Heading4"/>
      </w:pPr>
      <w:bookmarkStart w:id="11" w:name="_Toc115167924"/>
      <w:r>
        <w:t>5</w:t>
      </w:r>
      <w:r>
        <w:tab/>
      </w:r>
      <w:bookmarkEnd w:id="10"/>
      <w:r>
        <w:t>Creating a new supplier</w:t>
      </w:r>
      <w:bookmarkEnd w:id="11"/>
    </w:p>
    <w:p w14:paraId="7DAB66CD" w14:textId="7EF45700" w:rsidR="00A252CA" w:rsidRDefault="00A04028" w:rsidP="00D9620C">
      <w:pPr>
        <w:pStyle w:val="NumberedFirstLevel"/>
        <w:numPr>
          <w:ilvl w:val="1"/>
          <w:numId w:val="29"/>
        </w:numPr>
      </w:pPr>
      <w:r>
        <w:t xml:space="preserve">New suppliers must be created </w:t>
      </w:r>
      <w:r w:rsidR="00434F94">
        <w:t>in the finance system</w:t>
      </w:r>
      <w:r w:rsidR="00FD0FB6">
        <w:t xml:space="preserve">, </w:t>
      </w:r>
      <w:r>
        <w:t>in the manner specified in the Services Porta</w:t>
      </w:r>
      <w:r w:rsidR="008B5815">
        <w:t>l</w:t>
      </w:r>
      <w:r>
        <w:t xml:space="preserve"> at </w:t>
      </w:r>
      <w:r w:rsidR="00FD0FB6">
        <w:t>‘</w:t>
      </w:r>
      <w:hyperlink r:id="rId16" w:history="1">
        <w:r w:rsidR="00FD0FB6" w:rsidRPr="00D873A6">
          <w:rPr>
            <w:rStyle w:val="Hyperlink"/>
          </w:rPr>
          <w:t>How to add a new supplier</w:t>
        </w:r>
      </w:hyperlink>
      <w:r w:rsidR="00FD0FB6">
        <w:t>’</w:t>
      </w:r>
      <w:r w:rsidR="0084526F">
        <w:t>.</w:t>
      </w:r>
      <w:r w:rsidR="00E407AF">
        <w:t xml:space="preserve"> </w:t>
      </w:r>
    </w:p>
    <w:p w14:paraId="396C8510" w14:textId="7F2918E0" w:rsidR="004D4764" w:rsidRDefault="00301EEC" w:rsidP="004D4764">
      <w:pPr>
        <w:pStyle w:val="NumberedFirstLevel"/>
        <w:numPr>
          <w:ilvl w:val="1"/>
          <w:numId w:val="29"/>
        </w:numPr>
      </w:pPr>
      <w:r>
        <w:t xml:space="preserve">For payments </w:t>
      </w:r>
      <w:r w:rsidR="00360D24">
        <w:t>over $30,000, a</w:t>
      </w:r>
      <w:r w:rsidR="004D4764">
        <w:t xml:space="preserve"> supplier </w:t>
      </w:r>
      <w:r w:rsidR="001B57B1">
        <w:t>can be requested to</w:t>
      </w:r>
      <w:r w:rsidR="004D4764">
        <w:t xml:space="preserve"> provide their bank details to the Procurement Enablement Team in the form of:</w:t>
      </w:r>
    </w:p>
    <w:p w14:paraId="13398258" w14:textId="77777777" w:rsidR="004D4764" w:rsidRDefault="004D4764" w:rsidP="004D4764">
      <w:pPr>
        <w:pStyle w:val="NumberedSecondLevel"/>
        <w:numPr>
          <w:ilvl w:val="2"/>
          <w:numId w:val="29"/>
        </w:numPr>
      </w:pPr>
      <w:r>
        <w:t>a copy of a bank statement or bank letter verifying the supplier’s account details;</w:t>
      </w:r>
    </w:p>
    <w:p w14:paraId="204A210B" w14:textId="77777777" w:rsidR="004D4764" w:rsidRDefault="004D4764" w:rsidP="004D4764">
      <w:pPr>
        <w:pStyle w:val="NumberedSecondLevel"/>
        <w:numPr>
          <w:ilvl w:val="2"/>
          <w:numId w:val="29"/>
        </w:numPr>
      </w:pPr>
      <w:r>
        <w:t>a supplier letterhead with confirmation of bank details; or</w:t>
      </w:r>
    </w:p>
    <w:p w14:paraId="492123F4" w14:textId="56E269E1" w:rsidR="004D4764" w:rsidRDefault="004D4764" w:rsidP="005C7996">
      <w:pPr>
        <w:pStyle w:val="NumberedSecondLevel"/>
      </w:pPr>
      <w:r>
        <w:t>a voided cheque which includes the supplier’s name, bank account and bank branch details.</w:t>
      </w:r>
    </w:p>
    <w:p w14:paraId="76900A7F" w14:textId="244DEDA4" w:rsidR="00E844B7" w:rsidRDefault="00E844B7" w:rsidP="00E844B7">
      <w:pPr>
        <w:pStyle w:val="Heading4"/>
      </w:pPr>
      <w:bookmarkStart w:id="12" w:name="_Toc115167925"/>
      <w:r>
        <w:t>6</w:t>
      </w:r>
      <w:r>
        <w:tab/>
        <w:t>Amending supplier details</w:t>
      </w:r>
      <w:bookmarkEnd w:id="12"/>
    </w:p>
    <w:p w14:paraId="411E585A" w14:textId="77777777" w:rsidR="00CD709F" w:rsidRPr="00CD709F" w:rsidRDefault="00441389" w:rsidP="00337FC9">
      <w:pPr>
        <w:pStyle w:val="NumberedFirstLevel"/>
        <w:numPr>
          <w:ilvl w:val="0"/>
          <w:numId w:val="0"/>
        </w:numPr>
        <w:ind w:left="567" w:hanging="567"/>
      </w:pPr>
      <w:r>
        <w:t>Supplier details can be amended by either:</w:t>
      </w:r>
    </w:p>
    <w:p w14:paraId="2C907672" w14:textId="1C7D0C1B" w:rsidR="00622AF8" w:rsidRPr="00622AF8" w:rsidRDefault="00E81E5D" w:rsidP="00337FC9">
      <w:pPr>
        <w:pStyle w:val="NumberedSecondLevel"/>
        <w:numPr>
          <w:ilvl w:val="2"/>
          <w:numId w:val="49"/>
        </w:numPr>
      </w:pPr>
      <w:r w:rsidRPr="00A04028">
        <w:rPr>
          <w:iCs/>
        </w:rPr>
        <w:t>t</w:t>
      </w:r>
      <w:r w:rsidR="00E844B7" w:rsidRPr="00A04028">
        <w:rPr>
          <w:iCs/>
        </w:rPr>
        <w:t xml:space="preserve">he business unit </w:t>
      </w:r>
      <w:r w:rsidR="000669F8" w:rsidRPr="00A04028">
        <w:rPr>
          <w:iCs/>
        </w:rPr>
        <w:t xml:space="preserve">or </w:t>
      </w:r>
      <w:r w:rsidR="00AC1CA9" w:rsidRPr="00A04028">
        <w:rPr>
          <w:iCs/>
        </w:rPr>
        <w:t>UniBuy D</w:t>
      </w:r>
      <w:r w:rsidR="000669F8" w:rsidRPr="00A04028">
        <w:rPr>
          <w:iCs/>
        </w:rPr>
        <w:t xml:space="preserve">esk </w:t>
      </w:r>
      <w:r w:rsidR="00287E6F" w:rsidRPr="00A04028">
        <w:rPr>
          <w:iCs/>
        </w:rPr>
        <w:t xml:space="preserve">liaising with the supplier and </w:t>
      </w:r>
      <w:r w:rsidR="0021534E" w:rsidRPr="00A04028">
        <w:rPr>
          <w:iCs/>
        </w:rPr>
        <w:t>facil</w:t>
      </w:r>
      <w:r w:rsidR="00DE7B2A" w:rsidRPr="00A04028">
        <w:rPr>
          <w:iCs/>
        </w:rPr>
        <w:t>itat</w:t>
      </w:r>
      <w:r w:rsidR="00D05453" w:rsidRPr="00A04028">
        <w:rPr>
          <w:iCs/>
        </w:rPr>
        <w:t>ing</w:t>
      </w:r>
      <w:r w:rsidR="00DE7B2A" w:rsidRPr="00A04028">
        <w:rPr>
          <w:iCs/>
        </w:rPr>
        <w:t xml:space="preserve"> changes</w:t>
      </w:r>
      <w:r w:rsidR="00B43CB4">
        <w:rPr>
          <w:iCs/>
        </w:rPr>
        <w:t xml:space="preserve"> to be made by the </w:t>
      </w:r>
      <w:r w:rsidR="00593B7D">
        <w:rPr>
          <w:iCs/>
        </w:rPr>
        <w:t>Enablement Team</w:t>
      </w:r>
      <w:r w:rsidR="004A5140" w:rsidRPr="00A04028">
        <w:rPr>
          <w:iCs/>
        </w:rPr>
        <w:t xml:space="preserve">; </w:t>
      </w:r>
    </w:p>
    <w:p w14:paraId="45CC09B9" w14:textId="0CEC4CAA" w:rsidR="00C03FA9" w:rsidRDefault="00D05453" w:rsidP="005C7996">
      <w:pPr>
        <w:pStyle w:val="NumberedSecondLevel"/>
        <w:numPr>
          <w:ilvl w:val="0"/>
          <w:numId w:val="0"/>
        </w:numPr>
        <w:ind w:left="567"/>
      </w:pPr>
      <w:r>
        <w:t>or</w:t>
      </w:r>
    </w:p>
    <w:p w14:paraId="74795CBC" w14:textId="5977F9DD" w:rsidR="00652E88" w:rsidRDefault="00652E88" w:rsidP="005C7996">
      <w:pPr>
        <w:pStyle w:val="NumberedSecondLevel"/>
      </w:pPr>
      <w:r>
        <w:t xml:space="preserve">the supplier </w:t>
      </w:r>
      <w:r w:rsidR="009874E4">
        <w:t xml:space="preserve">updating their </w:t>
      </w:r>
      <w:r w:rsidR="00A8013E">
        <w:t>details online.</w:t>
      </w:r>
    </w:p>
    <w:p w14:paraId="6AB96CE6" w14:textId="293DC5D5" w:rsidR="00A04028" w:rsidRPr="008B5815" w:rsidRDefault="008B5815" w:rsidP="00337FC9">
      <w:pPr>
        <w:pStyle w:val="NormalNotes"/>
      </w:pPr>
      <w:r>
        <w:rPr>
          <w:b/>
          <w:bCs/>
        </w:rPr>
        <w:t>Note:</w:t>
      </w:r>
      <w:r>
        <w:rPr>
          <w:b/>
          <w:bCs/>
        </w:rPr>
        <w:tab/>
      </w:r>
      <w:r>
        <w:t xml:space="preserve">Supporting documentation may be written documents provided by the supplier or </w:t>
      </w:r>
      <w:r w:rsidR="005443C7">
        <w:t>supplier details in the format specified by the Univers</w:t>
      </w:r>
      <w:r w:rsidR="004512C4">
        <w:t>it</w:t>
      </w:r>
      <w:r w:rsidR="00F577D9">
        <w:t>y.</w:t>
      </w:r>
    </w:p>
    <w:p w14:paraId="156D521B" w14:textId="77777777" w:rsidR="00E844B7" w:rsidRDefault="00E844B7" w:rsidP="00E844B7">
      <w:pPr>
        <w:pStyle w:val="Heading4"/>
      </w:pPr>
      <w:bookmarkStart w:id="13" w:name="_Toc115167926"/>
      <w:r>
        <w:t>7</w:t>
      </w:r>
      <w:r>
        <w:tab/>
        <w:t>Inactivating a supplier</w:t>
      </w:r>
      <w:bookmarkEnd w:id="13"/>
    </w:p>
    <w:p w14:paraId="1DF39A72" w14:textId="2BA17E66" w:rsidR="00E844B7" w:rsidRPr="00C13791" w:rsidRDefault="00745714" w:rsidP="00656310">
      <w:pPr>
        <w:pStyle w:val="NumberedFirstLevel"/>
        <w:numPr>
          <w:ilvl w:val="1"/>
          <w:numId w:val="31"/>
        </w:numPr>
      </w:pPr>
      <w:r>
        <w:rPr>
          <w:iCs/>
        </w:rPr>
        <w:t>A</w:t>
      </w:r>
      <w:r w:rsidR="00652466">
        <w:rPr>
          <w:iCs/>
        </w:rPr>
        <w:t>n automated</w:t>
      </w:r>
      <w:r w:rsidR="00E844B7" w:rsidRPr="00656310">
        <w:rPr>
          <w:iCs/>
        </w:rPr>
        <w:t xml:space="preserve"> monthly program </w:t>
      </w:r>
      <w:r>
        <w:rPr>
          <w:iCs/>
        </w:rPr>
        <w:t>run</w:t>
      </w:r>
      <w:r w:rsidR="00B35BEC">
        <w:rPr>
          <w:iCs/>
        </w:rPr>
        <w:t>s</w:t>
      </w:r>
      <w:r>
        <w:rPr>
          <w:iCs/>
        </w:rPr>
        <w:t xml:space="preserve"> </w:t>
      </w:r>
      <w:r w:rsidR="009B5099">
        <w:rPr>
          <w:iCs/>
        </w:rPr>
        <w:t xml:space="preserve">in </w:t>
      </w:r>
      <w:r w:rsidR="0033083D">
        <w:rPr>
          <w:iCs/>
        </w:rPr>
        <w:t>the finance system</w:t>
      </w:r>
      <w:r w:rsidR="00E959BF">
        <w:rPr>
          <w:iCs/>
        </w:rPr>
        <w:t xml:space="preserve"> </w:t>
      </w:r>
      <w:r w:rsidR="00E844B7" w:rsidRPr="00656310">
        <w:rPr>
          <w:iCs/>
        </w:rPr>
        <w:t>inactivat</w:t>
      </w:r>
      <w:r w:rsidR="00274726">
        <w:rPr>
          <w:iCs/>
        </w:rPr>
        <w:t>ing</w:t>
      </w:r>
      <w:r w:rsidR="00E844B7" w:rsidRPr="00656310">
        <w:rPr>
          <w:iCs/>
        </w:rPr>
        <w:t xml:space="preserve"> a</w:t>
      </w:r>
      <w:r w:rsidR="00523002">
        <w:rPr>
          <w:iCs/>
        </w:rPr>
        <w:t>ny</w:t>
      </w:r>
      <w:r w:rsidR="00E844B7" w:rsidRPr="00656310">
        <w:rPr>
          <w:iCs/>
        </w:rPr>
        <w:t xml:space="preserve"> supplier with no activity </w:t>
      </w:r>
      <w:r w:rsidR="007F239C">
        <w:rPr>
          <w:iCs/>
        </w:rPr>
        <w:t>(i</w:t>
      </w:r>
      <w:r w:rsidR="00EF2E2E">
        <w:rPr>
          <w:iCs/>
        </w:rPr>
        <w:t>.</w:t>
      </w:r>
      <w:r w:rsidR="007F239C">
        <w:rPr>
          <w:iCs/>
        </w:rPr>
        <w:t>e</w:t>
      </w:r>
      <w:r w:rsidR="00EF2E2E">
        <w:rPr>
          <w:iCs/>
        </w:rPr>
        <w:t>.</w:t>
      </w:r>
      <w:r w:rsidR="007F239C">
        <w:rPr>
          <w:iCs/>
        </w:rPr>
        <w:t xml:space="preserve">, no purchase order, invoice or payment) </w:t>
      </w:r>
      <w:r w:rsidR="00E844B7" w:rsidRPr="00656310">
        <w:rPr>
          <w:iCs/>
        </w:rPr>
        <w:t>in the prior 15 months.</w:t>
      </w:r>
    </w:p>
    <w:p w14:paraId="0CBBBD3F" w14:textId="54EF30AB" w:rsidR="00C13791" w:rsidRPr="00BE5BCB" w:rsidRDefault="008B2E3B" w:rsidP="00656310">
      <w:pPr>
        <w:pStyle w:val="NumberedFirstLevel"/>
        <w:numPr>
          <w:ilvl w:val="1"/>
          <w:numId w:val="31"/>
        </w:numPr>
      </w:pPr>
      <w:r>
        <w:rPr>
          <w:iCs/>
        </w:rPr>
        <w:t xml:space="preserve">A business unit can request </w:t>
      </w:r>
      <w:r w:rsidR="009C4CB5">
        <w:rPr>
          <w:iCs/>
        </w:rPr>
        <w:t xml:space="preserve">the UniBuy Desk to inactivate a supplier </w:t>
      </w:r>
      <w:r w:rsidR="0017047E">
        <w:rPr>
          <w:iCs/>
        </w:rPr>
        <w:t>on an ad-hoc basis where the supplier is no</w:t>
      </w:r>
      <w:r w:rsidR="00327E21">
        <w:rPr>
          <w:iCs/>
        </w:rPr>
        <w:t xml:space="preserve"> longer supplying goods or services to the University.</w:t>
      </w:r>
    </w:p>
    <w:p w14:paraId="006E17DC" w14:textId="1840DDED" w:rsidR="00CF4584" w:rsidRDefault="00CF4584" w:rsidP="00CF4584">
      <w:pPr>
        <w:pStyle w:val="NumberedFirstLevel"/>
        <w:numPr>
          <w:ilvl w:val="0"/>
          <w:numId w:val="0"/>
        </w:numPr>
      </w:pPr>
    </w:p>
    <w:p w14:paraId="733C4B8F" w14:textId="0ED36D1D" w:rsidR="00D468A4" w:rsidRDefault="00382F78" w:rsidP="00A916FE">
      <w:pPr>
        <w:pStyle w:val="Heading3"/>
        <w:widowControl w:val="0"/>
      </w:pPr>
      <w:bookmarkStart w:id="14" w:name="_Toc115167927"/>
      <w:r>
        <w:lastRenderedPageBreak/>
        <w:t>PART 2 – PAYEE DETAILS MANAGEMENT</w:t>
      </w:r>
      <w:bookmarkEnd w:id="14"/>
    </w:p>
    <w:p w14:paraId="62236E1D" w14:textId="109F84FB" w:rsidR="00382F78" w:rsidRDefault="008C2457" w:rsidP="00A916FE">
      <w:pPr>
        <w:pStyle w:val="Heading4"/>
        <w:widowControl w:val="0"/>
        <w:rPr>
          <w:lang w:eastAsia="en-AU"/>
        </w:rPr>
      </w:pPr>
      <w:bookmarkStart w:id="15" w:name="_Toc115167928"/>
      <w:r>
        <w:rPr>
          <w:lang w:eastAsia="en-AU"/>
        </w:rPr>
        <w:t>8</w:t>
      </w:r>
      <w:r>
        <w:rPr>
          <w:lang w:eastAsia="en-AU"/>
        </w:rPr>
        <w:tab/>
      </w:r>
      <w:r w:rsidR="00D0001A">
        <w:rPr>
          <w:lang w:eastAsia="en-AU"/>
        </w:rPr>
        <w:t>General principles</w:t>
      </w:r>
      <w:bookmarkEnd w:id="15"/>
    </w:p>
    <w:p w14:paraId="7CAAFABA" w14:textId="373F1AFB" w:rsidR="005B67A1" w:rsidRPr="00017830" w:rsidRDefault="005B67A1" w:rsidP="00A916FE">
      <w:pPr>
        <w:pStyle w:val="NumberedFirstLevel"/>
        <w:keepNext/>
        <w:keepLines/>
        <w:widowControl w:val="0"/>
        <w:numPr>
          <w:ilvl w:val="1"/>
          <w:numId w:val="39"/>
        </w:numPr>
      </w:pPr>
      <w:r w:rsidRPr="005B67A1">
        <w:rPr>
          <w:iCs/>
        </w:rPr>
        <w:t xml:space="preserve">The Procurement Enablement Team manages </w:t>
      </w:r>
      <w:r w:rsidR="00D80BC1">
        <w:rPr>
          <w:iCs/>
        </w:rPr>
        <w:t>payee</w:t>
      </w:r>
      <w:r w:rsidRPr="005B67A1">
        <w:rPr>
          <w:iCs/>
        </w:rPr>
        <w:t xml:space="preserve"> details in the University’s </w:t>
      </w:r>
      <w:r w:rsidR="00EE30D0">
        <w:rPr>
          <w:iCs/>
        </w:rPr>
        <w:t>finance</w:t>
      </w:r>
      <w:r w:rsidRPr="005B67A1">
        <w:rPr>
          <w:iCs/>
        </w:rPr>
        <w:t xml:space="preserve"> system.</w:t>
      </w:r>
    </w:p>
    <w:p w14:paraId="4661AA6E" w14:textId="789EFDD1" w:rsidR="005B67A1" w:rsidRDefault="00492988" w:rsidP="00A916FE">
      <w:pPr>
        <w:pStyle w:val="Heading4"/>
        <w:widowControl w:val="0"/>
      </w:pPr>
      <w:bookmarkStart w:id="16" w:name="_Toc115167929"/>
      <w:r>
        <w:t>9</w:t>
      </w:r>
      <w:r w:rsidR="005B67A1">
        <w:tab/>
        <w:t xml:space="preserve">Creating a new </w:t>
      </w:r>
      <w:r>
        <w:t>payee</w:t>
      </w:r>
      <w:bookmarkEnd w:id="16"/>
    </w:p>
    <w:p w14:paraId="3215384F" w14:textId="09831CE1" w:rsidR="00254835" w:rsidRDefault="008B5815" w:rsidP="00A916FE">
      <w:pPr>
        <w:pStyle w:val="NumberedFirstLevel"/>
        <w:keepNext/>
        <w:keepLines/>
        <w:widowControl w:val="0"/>
        <w:numPr>
          <w:ilvl w:val="0"/>
          <w:numId w:val="0"/>
        </w:numPr>
      </w:pPr>
      <w:r>
        <w:t xml:space="preserve">New payees must be created in the finance system, in the manner specified in the Services Portal at </w:t>
      </w:r>
      <w:r w:rsidR="005951ED">
        <w:t>‘</w:t>
      </w:r>
      <w:hyperlink r:id="rId17" w:history="1">
        <w:r w:rsidR="005951ED" w:rsidRPr="00556AD8">
          <w:rPr>
            <w:rStyle w:val="Hyperlink"/>
          </w:rPr>
          <w:t>Before you submit a payment request</w:t>
        </w:r>
      </w:hyperlink>
      <w:r w:rsidR="005951ED">
        <w:t xml:space="preserve">’. </w:t>
      </w:r>
    </w:p>
    <w:p w14:paraId="77BFE5DA" w14:textId="3F3DDA66" w:rsidR="00E61F21" w:rsidRDefault="00E61F21" w:rsidP="00254835">
      <w:pPr>
        <w:pStyle w:val="Heading4"/>
      </w:pPr>
      <w:bookmarkStart w:id="17" w:name="_Toc115167930"/>
      <w:r>
        <w:t>10</w:t>
      </w:r>
      <w:r>
        <w:tab/>
        <w:t>Amending payee details</w:t>
      </w:r>
      <w:bookmarkEnd w:id="17"/>
    </w:p>
    <w:p w14:paraId="6D01189E" w14:textId="4CC7AA01" w:rsidR="000739CA" w:rsidRPr="00622AF8" w:rsidRDefault="00671A1E" w:rsidP="00337FC9">
      <w:pPr>
        <w:pStyle w:val="NumberedFirstLevel"/>
        <w:numPr>
          <w:ilvl w:val="0"/>
          <w:numId w:val="0"/>
        </w:numPr>
      </w:pPr>
      <w:r>
        <w:t>Payee</w:t>
      </w:r>
      <w:r w:rsidR="00EB7FF4">
        <w:t xml:space="preserve"> details can be amended by </w:t>
      </w:r>
      <w:r w:rsidR="00EB7FF4" w:rsidRPr="00D07830">
        <w:t>the business unit or UniBuy Desk</w:t>
      </w:r>
      <w:r w:rsidR="000739CA" w:rsidRPr="00812046">
        <w:t xml:space="preserve"> </w:t>
      </w:r>
      <w:r w:rsidR="000739CA">
        <w:t>liaising with the payee and facilitating changes</w:t>
      </w:r>
      <w:r w:rsidR="0087171A">
        <w:t>.</w:t>
      </w:r>
    </w:p>
    <w:p w14:paraId="5E1A4FA5" w14:textId="54AF0304" w:rsidR="000739CA" w:rsidRDefault="008B5815" w:rsidP="00337FC9">
      <w:pPr>
        <w:pStyle w:val="NormalNotes"/>
      </w:pPr>
      <w:r>
        <w:rPr>
          <w:b/>
          <w:bCs/>
        </w:rPr>
        <w:t>Note:</w:t>
      </w:r>
      <w:r>
        <w:rPr>
          <w:b/>
          <w:bCs/>
        </w:rPr>
        <w:tab/>
      </w:r>
      <w:r w:rsidR="000739CA">
        <w:t xml:space="preserve">Supporting documentation can be either written documents provided by the </w:t>
      </w:r>
      <w:r w:rsidR="0087171A">
        <w:t>payee</w:t>
      </w:r>
      <w:r w:rsidR="000739CA">
        <w:t xml:space="preserve"> </w:t>
      </w:r>
      <w:r w:rsidR="0046076D">
        <w:t>or payee details in the format specified by the University.</w:t>
      </w:r>
    </w:p>
    <w:p w14:paraId="6F9CA911" w14:textId="7F0BF47C" w:rsidR="005B67A1" w:rsidRDefault="00DC0A75" w:rsidP="00254835">
      <w:pPr>
        <w:pStyle w:val="Heading4"/>
      </w:pPr>
      <w:bookmarkStart w:id="18" w:name="_Toc115167931"/>
      <w:r>
        <w:t>1</w:t>
      </w:r>
      <w:r w:rsidR="00255CDE">
        <w:t>1</w:t>
      </w:r>
      <w:r w:rsidR="005B67A1">
        <w:tab/>
        <w:t xml:space="preserve">Inactivating a </w:t>
      </w:r>
      <w:r w:rsidR="008D76BB">
        <w:t>payee</w:t>
      </w:r>
      <w:bookmarkEnd w:id="18"/>
    </w:p>
    <w:p w14:paraId="680EE2CD" w14:textId="0A7CD26E" w:rsidR="005B67A1" w:rsidRPr="00C66DD7" w:rsidRDefault="005B67A1">
      <w:pPr>
        <w:pStyle w:val="NumberedFirstLevel"/>
        <w:numPr>
          <w:ilvl w:val="1"/>
          <w:numId w:val="42"/>
        </w:numPr>
      </w:pPr>
      <w:r w:rsidRPr="008D76BB">
        <w:rPr>
          <w:iCs/>
        </w:rPr>
        <w:t xml:space="preserve">A monthly program is </w:t>
      </w:r>
      <w:r w:rsidR="004B769B">
        <w:rPr>
          <w:iCs/>
        </w:rPr>
        <w:t xml:space="preserve">set up to </w:t>
      </w:r>
      <w:r w:rsidRPr="008D76BB">
        <w:rPr>
          <w:iCs/>
        </w:rPr>
        <w:t xml:space="preserve">run </w:t>
      </w:r>
      <w:r w:rsidR="004B769B">
        <w:rPr>
          <w:iCs/>
        </w:rPr>
        <w:t>in the finance system</w:t>
      </w:r>
      <w:r w:rsidR="00E60B9C">
        <w:rPr>
          <w:iCs/>
        </w:rPr>
        <w:t xml:space="preserve"> </w:t>
      </w:r>
      <w:r w:rsidRPr="008D76BB">
        <w:rPr>
          <w:iCs/>
        </w:rPr>
        <w:t xml:space="preserve">which inactivates any </w:t>
      </w:r>
      <w:r w:rsidR="008D76BB">
        <w:rPr>
          <w:iCs/>
        </w:rPr>
        <w:t>payee</w:t>
      </w:r>
      <w:r w:rsidRPr="008D76BB">
        <w:rPr>
          <w:iCs/>
        </w:rPr>
        <w:t xml:space="preserve"> with no activity (i.e., no purchase order, invoice or payment) in the prior 15 months.</w:t>
      </w:r>
    </w:p>
    <w:p w14:paraId="6CE3B5F4" w14:textId="663281B6" w:rsidR="00C66DD7" w:rsidRPr="00BE5BCB" w:rsidRDefault="00C66DD7" w:rsidP="005C7996">
      <w:pPr>
        <w:pStyle w:val="NumberedFirstLevel"/>
        <w:numPr>
          <w:ilvl w:val="1"/>
          <w:numId w:val="42"/>
        </w:numPr>
      </w:pPr>
      <w:r w:rsidRPr="00C66DD7">
        <w:rPr>
          <w:iCs/>
        </w:rPr>
        <w:t xml:space="preserve">A business unit can request the UniBuy Desk to inactivate a </w:t>
      </w:r>
      <w:r>
        <w:rPr>
          <w:iCs/>
        </w:rPr>
        <w:t>payee</w:t>
      </w:r>
      <w:r w:rsidRPr="00C66DD7">
        <w:rPr>
          <w:iCs/>
        </w:rPr>
        <w:t xml:space="preserve"> on an ad-hoc basis where the </w:t>
      </w:r>
      <w:r>
        <w:rPr>
          <w:iCs/>
        </w:rPr>
        <w:t>payee</w:t>
      </w:r>
      <w:r w:rsidRPr="00C66DD7">
        <w:rPr>
          <w:iCs/>
        </w:rPr>
        <w:t xml:space="preserve"> </w:t>
      </w:r>
      <w:r w:rsidR="007D6C1F">
        <w:rPr>
          <w:iCs/>
        </w:rPr>
        <w:t>will not require further payment from</w:t>
      </w:r>
      <w:r w:rsidRPr="00C66DD7">
        <w:rPr>
          <w:iCs/>
        </w:rPr>
        <w:t xml:space="preserve"> the University.</w:t>
      </w:r>
    </w:p>
    <w:p w14:paraId="3E0C1DE8" w14:textId="77777777" w:rsidR="007F763B" w:rsidRDefault="007F763B" w:rsidP="00537A1F">
      <w:pPr>
        <w:pStyle w:val="Heading3"/>
      </w:pPr>
    </w:p>
    <w:p w14:paraId="5EF583E4" w14:textId="0349981D" w:rsidR="00537A1F" w:rsidRDefault="00537A1F" w:rsidP="00537A1F">
      <w:pPr>
        <w:pStyle w:val="Heading3"/>
      </w:pPr>
      <w:bookmarkStart w:id="19" w:name="_Toc115167932"/>
      <w:r>
        <w:t xml:space="preserve">PART </w:t>
      </w:r>
      <w:r w:rsidR="007F763B">
        <w:t>3</w:t>
      </w:r>
      <w:r>
        <w:t xml:space="preserve"> </w:t>
      </w:r>
      <w:r w:rsidR="00BC244C">
        <w:t>–</w:t>
      </w:r>
      <w:r>
        <w:t xml:space="preserve"> PAYMENT</w:t>
      </w:r>
      <w:r w:rsidR="00BC244C">
        <w:t xml:space="preserve"> </w:t>
      </w:r>
      <w:r w:rsidR="00F6696F">
        <w:t>MANAGEMENT</w:t>
      </w:r>
      <w:bookmarkEnd w:id="19"/>
    </w:p>
    <w:p w14:paraId="5420C23C" w14:textId="53CE137B" w:rsidR="00E57E69" w:rsidRDefault="00C82D09" w:rsidP="00013550">
      <w:pPr>
        <w:pStyle w:val="Heading4"/>
      </w:pPr>
      <w:bookmarkStart w:id="20" w:name="_Toc115167933"/>
      <w:r>
        <w:t>1</w:t>
      </w:r>
      <w:r w:rsidR="00255CDE">
        <w:t>2</w:t>
      </w:r>
      <w:r w:rsidR="00155112">
        <w:tab/>
      </w:r>
      <w:r w:rsidR="00943656">
        <w:t xml:space="preserve">Supplier </w:t>
      </w:r>
      <w:r w:rsidR="00FC0779">
        <w:t>payments</w:t>
      </w:r>
      <w:bookmarkEnd w:id="20"/>
    </w:p>
    <w:p w14:paraId="2B7AA5AE" w14:textId="11C73C8E" w:rsidR="00B9161C" w:rsidRPr="00D75547" w:rsidRDefault="006748CD" w:rsidP="00B9161C">
      <w:pPr>
        <w:pStyle w:val="NumberedFirstLevel"/>
        <w:numPr>
          <w:ilvl w:val="1"/>
          <w:numId w:val="16"/>
        </w:numPr>
      </w:pPr>
      <w:r>
        <w:rPr>
          <w:iCs/>
        </w:rPr>
        <w:t xml:space="preserve">The </w:t>
      </w:r>
      <w:r w:rsidR="00A952D2">
        <w:rPr>
          <w:iCs/>
        </w:rPr>
        <w:t>finance</w:t>
      </w:r>
      <w:r>
        <w:rPr>
          <w:iCs/>
        </w:rPr>
        <w:t xml:space="preserve"> system will generate a payment </w:t>
      </w:r>
      <w:r w:rsidR="00D75547">
        <w:rPr>
          <w:iCs/>
        </w:rPr>
        <w:t xml:space="preserve">to a supplier after the receipt of the goods </w:t>
      </w:r>
      <w:r w:rsidR="00B919F3">
        <w:rPr>
          <w:iCs/>
        </w:rPr>
        <w:t xml:space="preserve">or </w:t>
      </w:r>
      <w:r w:rsidR="00D75547">
        <w:rPr>
          <w:iCs/>
        </w:rPr>
        <w:t xml:space="preserve">services has been matched to an approved purchase order </w:t>
      </w:r>
      <w:r w:rsidR="00B66FC9">
        <w:rPr>
          <w:iCs/>
        </w:rPr>
        <w:t>and a valid tax invoice</w:t>
      </w:r>
      <w:r w:rsidR="00A952D2">
        <w:rPr>
          <w:iCs/>
        </w:rPr>
        <w:t xml:space="preserve"> in the UniBuy procurement system</w:t>
      </w:r>
      <w:r>
        <w:rPr>
          <w:iCs/>
        </w:rPr>
        <w:t>.</w:t>
      </w:r>
      <w:r w:rsidR="00B66FC9">
        <w:rPr>
          <w:iCs/>
        </w:rPr>
        <w:t xml:space="preserve"> </w:t>
      </w:r>
    </w:p>
    <w:p w14:paraId="44BBD683" w14:textId="4CC2721D" w:rsidR="00D75547" w:rsidRDefault="008B5815" w:rsidP="00596FE7">
      <w:pPr>
        <w:pStyle w:val="NumberedSecondLevel"/>
      </w:pPr>
      <w:r>
        <w:t>P</w:t>
      </w:r>
      <w:r w:rsidR="00D75547">
        <w:t xml:space="preserve">ayment will be made </w:t>
      </w:r>
      <w:r w:rsidR="00B66FC9">
        <w:t xml:space="preserve">in accordance with the </w:t>
      </w:r>
      <w:r w:rsidR="00276724">
        <w:t>University’s</w:t>
      </w:r>
      <w:r w:rsidR="00D8748E">
        <w:t xml:space="preserve"> </w:t>
      </w:r>
      <w:r w:rsidR="00CB00D2">
        <w:t>standard</w:t>
      </w:r>
      <w:r w:rsidR="00EF2E2E">
        <w:t xml:space="preserve"> </w:t>
      </w:r>
      <w:r w:rsidR="00B66FC9">
        <w:t>payment terms, generally 30 days from the invoice date for University suppliers</w:t>
      </w:r>
      <w:r w:rsidR="00D75547">
        <w:t>.</w:t>
      </w:r>
    </w:p>
    <w:p w14:paraId="0C6F0A30" w14:textId="1706A560" w:rsidR="00596FE7" w:rsidRDefault="00596FE7" w:rsidP="00596FE7">
      <w:pPr>
        <w:pStyle w:val="NumberedThirdLevel"/>
      </w:pPr>
      <w:r w:rsidDel="007F239C">
        <w:t>A delivery docket or monthly statement is not a valid supplier tax invoice.</w:t>
      </w:r>
    </w:p>
    <w:p w14:paraId="51D6632A" w14:textId="5F7AF826" w:rsidR="00596FE7" w:rsidRDefault="00596FE7" w:rsidP="00596FE7">
      <w:pPr>
        <w:pStyle w:val="NumberedThirdLevel"/>
      </w:pPr>
      <w:r>
        <w:t xml:space="preserve">Any deviation from the University’s standard 30 days payment terms requires Chief Financial Officer approval. </w:t>
      </w:r>
    </w:p>
    <w:p w14:paraId="2BB18A27" w14:textId="052408F9" w:rsidR="00490A46" w:rsidRDefault="00866E79" w:rsidP="00596FE7">
      <w:pPr>
        <w:pStyle w:val="NumberedThirdLevel"/>
      </w:pPr>
      <w:r>
        <w:t>Any deviation from the requirement for purchase orders requires Chief Financial Officer approval.</w:t>
      </w:r>
    </w:p>
    <w:p w14:paraId="6FF69A5A" w14:textId="3F433FEC" w:rsidR="008C1834" w:rsidRPr="008C1834" w:rsidRDefault="008C1834" w:rsidP="008C1834">
      <w:pPr>
        <w:pStyle w:val="NormalNotes"/>
        <w:ind w:left="1701" w:hanging="567"/>
      </w:pPr>
      <w:r w:rsidRPr="008C1834">
        <w:rPr>
          <w:b/>
          <w:bCs/>
        </w:rPr>
        <w:t>Note:</w:t>
      </w:r>
      <w:r w:rsidRPr="008C1834">
        <w:rPr>
          <w:b/>
          <w:bCs/>
        </w:rPr>
        <w:tab/>
      </w:r>
      <w:r w:rsidRPr="008C1834">
        <w:t xml:space="preserve">Commercial </w:t>
      </w:r>
      <w:r>
        <w:t xml:space="preserve">agreements must be approved by the relevant delegate, as specified in the </w:t>
      </w:r>
      <w:hyperlink r:id="rId18" w:history="1">
        <w:r w:rsidRPr="00EF2E2E">
          <w:rPr>
            <w:rStyle w:val="Hyperlink"/>
            <w:i/>
            <w:iCs/>
          </w:rPr>
          <w:t>University of Sydney (Delegations of Authority) Rule 2020</w:t>
        </w:r>
      </w:hyperlink>
      <w:r>
        <w:rPr>
          <w:rStyle w:val="Hyperlink"/>
          <w:i/>
          <w:iCs/>
        </w:rPr>
        <w:t xml:space="preserve">. </w:t>
      </w:r>
    </w:p>
    <w:p w14:paraId="645C782D" w14:textId="7399882B" w:rsidR="00871D48" w:rsidRDefault="00871D48" w:rsidP="00BB7929">
      <w:pPr>
        <w:pStyle w:val="NumberedFirstLevel"/>
      </w:pPr>
      <w:r>
        <w:lastRenderedPageBreak/>
        <w:t>Valid supplier tax invoices must include the following information:</w:t>
      </w:r>
    </w:p>
    <w:p w14:paraId="2082E7AA" w14:textId="5B382142" w:rsidR="00871D48" w:rsidRDefault="00871D48" w:rsidP="00871D48">
      <w:pPr>
        <w:pStyle w:val="NumberedSecondLevel"/>
      </w:pPr>
      <w:r>
        <w:t>purchase order reference number;</w:t>
      </w:r>
    </w:p>
    <w:p w14:paraId="4A7B3488" w14:textId="596C082F" w:rsidR="00871D48" w:rsidRDefault="00871D48" w:rsidP="00871D48">
      <w:pPr>
        <w:pStyle w:val="NumberedSecondLevel"/>
      </w:pPr>
      <w:r>
        <w:t>University contact details;</w:t>
      </w:r>
    </w:p>
    <w:p w14:paraId="739B2B9B" w14:textId="77777777" w:rsidR="00871D48" w:rsidRDefault="00871D48" w:rsidP="00871D48">
      <w:pPr>
        <w:pStyle w:val="NumberedSecondLevel"/>
      </w:pPr>
      <w:r>
        <w:t>invoice date;</w:t>
      </w:r>
    </w:p>
    <w:p w14:paraId="22E4D039" w14:textId="00B50B9B" w:rsidR="00871D48" w:rsidRDefault="008B5815" w:rsidP="00871D48">
      <w:pPr>
        <w:pStyle w:val="NumberedSecondLevel"/>
      </w:pPr>
      <w:r>
        <w:t xml:space="preserve">a unique </w:t>
      </w:r>
      <w:r w:rsidR="00871D48">
        <w:t>invoice number;</w:t>
      </w:r>
    </w:p>
    <w:p w14:paraId="1DBDA129" w14:textId="77777777" w:rsidR="00871D48" w:rsidRDefault="00871D48" w:rsidP="00337FC9">
      <w:pPr>
        <w:pStyle w:val="NormalNotes"/>
        <w:ind w:left="1854"/>
      </w:pPr>
      <w:r w:rsidRPr="00091191">
        <w:rPr>
          <w:b/>
          <w:bCs/>
        </w:rPr>
        <w:t>Note:</w:t>
      </w:r>
      <w:r>
        <w:tab/>
        <w:t>Invoices that do not contain a unique supplier invoice number will be returned to the supplier.</w:t>
      </w:r>
    </w:p>
    <w:p w14:paraId="47E5FA6B" w14:textId="65169538" w:rsidR="007F239C" w:rsidRDefault="007F239C" w:rsidP="00871D48">
      <w:pPr>
        <w:pStyle w:val="NumberedSecondLevel"/>
      </w:pPr>
      <w:r>
        <w:t>ABN or statement by supplier, as applicable;</w:t>
      </w:r>
    </w:p>
    <w:p w14:paraId="37F19618" w14:textId="7C724C4C" w:rsidR="00871D48" w:rsidRDefault="00871D48" w:rsidP="00871D48">
      <w:pPr>
        <w:pStyle w:val="NumberedSecondLevel"/>
      </w:pPr>
      <w:r>
        <w:t>GST shown as ‘nil’ or ‘10%’;</w:t>
      </w:r>
    </w:p>
    <w:p w14:paraId="659EF7EF" w14:textId="6F7A6234" w:rsidR="003F59F0" w:rsidRDefault="003F59F0" w:rsidP="00871D48">
      <w:pPr>
        <w:pStyle w:val="NumberedSecondLevel"/>
      </w:pPr>
      <w:r>
        <w:t>total amount payable;</w:t>
      </w:r>
    </w:p>
    <w:p w14:paraId="4A17F641" w14:textId="77777777" w:rsidR="00871D48" w:rsidRDefault="00871D48" w:rsidP="00871D48">
      <w:pPr>
        <w:pStyle w:val="NumberedSecondLevel"/>
      </w:pPr>
      <w:r>
        <w:t>address;</w:t>
      </w:r>
    </w:p>
    <w:p w14:paraId="73C46E94" w14:textId="40721184" w:rsidR="00871D48" w:rsidRDefault="00871D48" w:rsidP="00871D48">
      <w:pPr>
        <w:pStyle w:val="NumberedSecondLevel"/>
      </w:pPr>
      <w:r>
        <w:t>bank details; and</w:t>
      </w:r>
    </w:p>
    <w:p w14:paraId="049F0678" w14:textId="5356CB6B" w:rsidR="003D7B20" w:rsidRDefault="00871D48" w:rsidP="00871D48">
      <w:pPr>
        <w:pStyle w:val="NumberedSecondLevel"/>
      </w:pPr>
      <w:r>
        <w:t>email address.</w:t>
      </w:r>
    </w:p>
    <w:p w14:paraId="2B515BD7" w14:textId="6FB9ADAB" w:rsidR="00871D48" w:rsidRDefault="00871D48" w:rsidP="00871D48">
      <w:pPr>
        <w:pStyle w:val="NumberedFirstLevel"/>
      </w:pPr>
      <w:r>
        <w:t xml:space="preserve">The Accounts Payable Team must </w:t>
      </w:r>
      <w:r w:rsidR="00B919F3">
        <w:t xml:space="preserve">match </w:t>
      </w:r>
      <w:r>
        <w:t xml:space="preserve">the ABN and bank details on the invoice </w:t>
      </w:r>
      <w:r w:rsidR="00B919F3">
        <w:t>to</w:t>
      </w:r>
      <w:r>
        <w:t xml:space="preserve"> the supplier details in </w:t>
      </w:r>
      <w:r w:rsidR="00B66FC9">
        <w:t>the finance</w:t>
      </w:r>
      <w:r>
        <w:t xml:space="preserve"> system</w:t>
      </w:r>
      <w:r w:rsidR="006F6BD0">
        <w:t>.</w:t>
      </w:r>
    </w:p>
    <w:p w14:paraId="69412282" w14:textId="3A125668" w:rsidR="009956B8" w:rsidRPr="00017830" w:rsidRDefault="00276C31" w:rsidP="00871D48">
      <w:pPr>
        <w:pStyle w:val="NumberedFirstLevel"/>
      </w:pPr>
      <w:r>
        <w:t xml:space="preserve">The finance system will generate </w:t>
      </w:r>
      <w:r w:rsidR="006F1564">
        <w:t>a p</w:t>
      </w:r>
      <w:r w:rsidR="00764BE7">
        <w:t xml:space="preserve">ayment to </w:t>
      </w:r>
      <w:r w:rsidR="006F1564">
        <w:t xml:space="preserve">a </w:t>
      </w:r>
      <w:r w:rsidR="009B0920">
        <w:t>non</w:t>
      </w:r>
      <w:r w:rsidR="004A73B9">
        <w:t xml:space="preserve">-purchase order </w:t>
      </w:r>
      <w:r w:rsidR="00764BE7">
        <w:t xml:space="preserve">supplier </w:t>
      </w:r>
      <w:r w:rsidR="00590FDE">
        <w:t>after a delegate has approved the transaction, for</w:t>
      </w:r>
      <w:r w:rsidR="006F1564">
        <w:t xml:space="preserve"> </w:t>
      </w:r>
      <w:hyperlink r:id="rId19" w:history="1">
        <w:r w:rsidR="006F1564" w:rsidRPr="00441AD0">
          <w:rPr>
            <w:rStyle w:val="Hyperlink"/>
          </w:rPr>
          <w:t>specific</w:t>
        </w:r>
        <w:r w:rsidR="00764BE7" w:rsidRPr="00441AD0">
          <w:rPr>
            <w:rStyle w:val="Hyperlink"/>
          </w:rPr>
          <w:t>ally identified low-risk procurement categories</w:t>
        </w:r>
      </w:hyperlink>
      <w:r w:rsidR="00E7508A">
        <w:t xml:space="preserve"> in accordance with </w:t>
      </w:r>
      <w:r w:rsidR="00463775">
        <w:t>clause 10(3) of the policy</w:t>
      </w:r>
      <w:r w:rsidR="00035FB0">
        <w:t>.</w:t>
      </w:r>
    </w:p>
    <w:p w14:paraId="419E0E9C" w14:textId="7499B524" w:rsidR="00E435C8" w:rsidRDefault="000274BC" w:rsidP="00E435C8">
      <w:pPr>
        <w:pStyle w:val="Heading4"/>
      </w:pPr>
      <w:bookmarkStart w:id="21" w:name="_Toc115167934"/>
      <w:r>
        <w:t>1</w:t>
      </w:r>
      <w:r w:rsidR="00255CDE">
        <w:t>3</w:t>
      </w:r>
      <w:r w:rsidR="00E435C8">
        <w:tab/>
      </w:r>
      <w:r w:rsidR="00E83D08">
        <w:t xml:space="preserve">Payee </w:t>
      </w:r>
      <w:r w:rsidR="00FC0779">
        <w:t>payments</w:t>
      </w:r>
      <w:bookmarkEnd w:id="21"/>
    </w:p>
    <w:p w14:paraId="4FDD1896" w14:textId="0738337D" w:rsidR="00454CD8" w:rsidRDefault="00546BF0" w:rsidP="005C7996">
      <w:pPr>
        <w:pStyle w:val="NumberedFirstLevel"/>
        <w:numPr>
          <w:ilvl w:val="1"/>
          <w:numId w:val="46"/>
        </w:numPr>
      </w:pPr>
      <w:r>
        <w:t xml:space="preserve">Payee </w:t>
      </w:r>
      <w:r w:rsidR="00454CD8">
        <w:t>payment</w:t>
      </w:r>
      <w:r w:rsidR="00E4595C">
        <w:t>s</w:t>
      </w:r>
      <w:r w:rsidR="00454CD8">
        <w:t xml:space="preserve"> can only be made for</w:t>
      </w:r>
      <w:r w:rsidR="009C3E97">
        <w:t xml:space="preserve"> specific</w:t>
      </w:r>
      <w:r w:rsidR="00454CD8">
        <w:t xml:space="preserve"> payment types</w:t>
      </w:r>
      <w:r w:rsidR="00D21883">
        <w:t xml:space="preserve"> </w:t>
      </w:r>
      <w:r w:rsidR="000A68C2">
        <w:t>listed in ‘</w:t>
      </w:r>
      <w:hyperlink r:id="rId20" w:history="1">
        <w:r w:rsidR="00BE44FE" w:rsidRPr="00BE28A9">
          <w:rPr>
            <w:rStyle w:val="Hyperlink"/>
          </w:rPr>
          <w:t>When to use a payment request</w:t>
        </w:r>
      </w:hyperlink>
      <w:r w:rsidR="000A68C2">
        <w:t>’</w:t>
      </w:r>
      <w:r w:rsidR="00B22F4F">
        <w:t>. These include</w:t>
      </w:r>
      <w:r w:rsidR="00AF36EB">
        <w:t>:</w:t>
      </w:r>
    </w:p>
    <w:p w14:paraId="276A92D8" w14:textId="46622301" w:rsidR="00697DA7" w:rsidRDefault="005F3E96" w:rsidP="00454CD8">
      <w:pPr>
        <w:pStyle w:val="NumberedSecondLevel"/>
      </w:pPr>
      <w:r>
        <w:t xml:space="preserve">student </w:t>
      </w:r>
      <w:r w:rsidR="00C363FC">
        <w:t>prize</w:t>
      </w:r>
      <w:r w:rsidR="008744D1">
        <w:t>s</w:t>
      </w:r>
      <w:r w:rsidR="00C363FC">
        <w:t xml:space="preserve"> and scholarship</w:t>
      </w:r>
      <w:r w:rsidR="008744D1">
        <w:t>s</w:t>
      </w:r>
      <w:r w:rsidR="00C363FC">
        <w:t>;</w:t>
      </w:r>
    </w:p>
    <w:p w14:paraId="323B1002" w14:textId="2D79CCBA" w:rsidR="00607D15" w:rsidRDefault="00033C89" w:rsidP="00607D15">
      <w:pPr>
        <w:pStyle w:val="NumberedSecondLevel"/>
      </w:pPr>
      <w:r>
        <w:t xml:space="preserve">expense </w:t>
      </w:r>
      <w:r w:rsidR="001C3709">
        <w:t>reimbursement</w:t>
      </w:r>
      <w:r w:rsidR="002D430F">
        <w:t xml:space="preserve"> to </w:t>
      </w:r>
      <w:r w:rsidR="001A2BC8">
        <w:t>non-</w:t>
      </w:r>
      <w:r w:rsidR="00B22F4F">
        <w:t>h</w:t>
      </w:r>
      <w:r w:rsidR="007C1E73">
        <w:t xml:space="preserve">igher </w:t>
      </w:r>
      <w:r w:rsidR="00B22F4F">
        <w:t>d</w:t>
      </w:r>
      <w:r w:rsidR="007C1E73">
        <w:t>egree</w:t>
      </w:r>
      <w:r w:rsidR="00067567">
        <w:t xml:space="preserve"> </w:t>
      </w:r>
      <w:r w:rsidR="00B22F4F">
        <w:t>by</w:t>
      </w:r>
      <w:r w:rsidR="007C1E73">
        <w:t xml:space="preserve"> </w:t>
      </w:r>
      <w:r w:rsidR="00B22F4F">
        <w:t>r</w:t>
      </w:r>
      <w:r w:rsidR="007C1E73">
        <w:t xml:space="preserve">esearch </w:t>
      </w:r>
      <w:r w:rsidR="002D430F">
        <w:t>students and non-staff</w:t>
      </w:r>
      <w:r w:rsidR="00454CD8">
        <w:t>;</w:t>
      </w:r>
      <w:r w:rsidR="00607D15" w:rsidRPr="00607D15">
        <w:t xml:space="preserve"> </w:t>
      </w:r>
    </w:p>
    <w:p w14:paraId="71A2D58A" w14:textId="34AFCF31" w:rsidR="00454CD8" w:rsidRDefault="00FC0724" w:rsidP="00592F70">
      <w:pPr>
        <w:pStyle w:val="NumberedSecondLevel"/>
      </w:pPr>
      <w:r>
        <w:t>honorari</w:t>
      </w:r>
      <w:r w:rsidR="00B22F4F">
        <w:t>a</w:t>
      </w:r>
      <w:r w:rsidR="00592F70">
        <w:t>.</w:t>
      </w:r>
    </w:p>
    <w:p w14:paraId="46693884" w14:textId="3018C700" w:rsidR="001F42D1" w:rsidRDefault="00547356" w:rsidP="00A952D2">
      <w:pPr>
        <w:pStyle w:val="NumberedFirstLevel"/>
      </w:pPr>
      <w:r>
        <w:t>An h</w:t>
      </w:r>
      <w:r w:rsidR="001F42D1">
        <w:t>onorari</w:t>
      </w:r>
      <w:r>
        <w:t>um</w:t>
      </w:r>
      <w:r w:rsidR="001F42D1">
        <w:t xml:space="preserve"> must not:</w:t>
      </w:r>
    </w:p>
    <w:p w14:paraId="19CACA14" w14:textId="54DF9B5B" w:rsidR="001F42D1" w:rsidRDefault="001F42D1" w:rsidP="001F42D1">
      <w:pPr>
        <w:pStyle w:val="NumberedSecondLevel"/>
      </w:pPr>
      <w:r>
        <w:t>exceed $1,000; or</w:t>
      </w:r>
    </w:p>
    <w:p w14:paraId="5234816D" w14:textId="60287475" w:rsidR="001F42D1" w:rsidRDefault="001F42D1" w:rsidP="001F42D1">
      <w:pPr>
        <w:pStyle w:val="NumberedSecondLevel"/>
      </w:pPr>
      <w:r>
        <w:t xml:space="preserve">be paid to an individual </w:t>
      </w:r>
      <w:r w:rsidR="00BF7839">
        <w:t>with</w:t>
      </w:r>
      <w:r>
        <w:t xml:space="preserve"> whom the University has a contract for services.</w:t>
      </w:r>
    </w:p>
    <w:p w14:paraId="062FD4E7" w14:textId="0A3704B0" w:rsidR="00654E88" w:rsidRPr="00654E88" w:rsidRDefault="00654E88" w:rsidP="005C7996">
      <w:pPr>
        <w:pStyle w:val="NormalNotes"/>
        <w:ind w:left="1134" w:hanging="567"/>
      </w:pPr>
      <w:r w:rsidRPr="005C7996">
        <w:rPr>
          <w:b/>
          <w:bCs/>
        </w:rPr>
        <w:t>Note:</w:t>
      </w:r>
      <w:r w:rsidRPr="005C7996">
        <w:rPr>
          <w:b/>
          <w:bCs/>
        </w:rPr>
        <w:tab/>
      </w:r>
      <w:r>
        <w:t xml:space="preserve">Refer to </w:t>
      </w:r>
      <w:r w:rsidR="00910D22">
        <w:t>‘</w:t>
      </w:r>
      <w:hyperlink r:id="rId21" w:history="1">
        <w:r w:rsidR="00910D22" w:rsidRPr="000B7C47">
          <w:rPr>
            <w:rStyle w:val="Hyperlink"/>
          </w:rPr>
          <w:t>What is a thank you (honorarium) payment?</w:t>
        </w:r>
      </w:hyperlink>
      <w:r w:rsidR="00910D22">
        <w:t>’</w:t>
      </w:r>
      <w:r w:rsidR="00F578A1">
        <w:t>.</w:t>
      </w:r>
    </w:p>
    <w:p w14:paraId="30F70C14" w14:textId="682EC8F3" w:rsidR="00B12E2E" w:rsidRDefault="00AB76B6" w:rsidP="00F26226">
      <w:pPr>
        <w:pStyle w:val="NumberedFirstLevel"/>
      </w:pPr>
      <w:r>
        <w:t>The finance system will generate a payment to a payee after</w:t>
      </w:r>
      <w:r w:rsidR="00466AD6">
        <w:t xml:space="preserve"> </w:t>
      </w:r>
      <w:r w:rsidR="003928B6">
        <w:t xml:space="preserve">the payment request has been entered and approved </w:t>
      </w:r>
      <w:r w:rsidR="00FB3AAA">
        <w:t>in the UniBuy procurement system.</w:t>
      </w:r>
    </w:p>
    <w:p w14:paraId="6F96E98C" w14:textId="2406FDC5" w:rsidR="00FB3AAA" w:rsidRDefault="00160A45" w:rsidP="005C7996">
      <w:pPr>
        <w:pStyle w:val="NumberedSecondLevel"/>
      </w:pPr>
      <w:r>
        <w:t>Refer to ‘</w:t>
      </w:r>
      <w:hyperlink r:id="rId22" w:history="1">
        <w:r w:rsidRPr="004377D6">
          <w:rPr>
            <w:rStyle w:val="Hyperlink"/>
          </w:rPr>
          <w:t>How to submit a payment request</w:t>
        </w:r>
      </w:hyperlink>
      <w:r w:rsidR="00AE1FE1">
        <w:t>’</w:t>
      </w:r>
      <w:r w:rsidR="002D7C44">
        <w:t xml:space="preserve"> and </w:t>
      </w:r>
      <w:r w:rsidR="00660631">
        <w:t>‘</w:t>
      </w:r>
      <w:hyperlink r:id="rId23" w:history="1">
        <w:r w:rsidR="00660631" w:rsidRPr="00E1745B">
          <w:rPr>
            <w:rStyle w:val="Hyperlink"/>
          </w:rPr>
          <w:t>What supporting documents do I need to submit a payment request?</w:t>
        </w:r>
      </w:hyperlink>
      <w:r w:rsidR="00660631">
        <w:t>’.</w:t>
      </w:r>
    </w:p>
    <w:p w14:paraId="3FF077CC" w14:textId="4269EC58" w:rsidR="00812EAC" w:rsidRDefault="00B56033" w:rsidP="006A68A8">
      <w:pPr>
        <w:pStyle w:val="NumberedFirstLevel"/>
      </w:pPr>
      <w:r>
        <w:t xml:space="preserve">Some </w:t>
      </w:r>
      <w:r w:rsidR="000041D5">
        <w:t xml:space="preserve">payments </w:t>
      </w:r>
      <w:r w:rsidR="00EA37E9">
        <w:t xml:space="preserve">which </w:t>
      </w:r>
      <w:r w:rsidR="003203C7">
        <w:t xml:space="preserve">involve </w:t>
      </w:r>
      <w:r w:rsidR="00C070D7">
        <w:t>multiple pa</w:t>
      </w:r>
      <w:r w:rsidR="00C10C9B">
        <w:t xml:space="preserve">yees </w:t>
      </w:r>
      <w:r w:rsidR="000041D5">
        <w:t>are uploaded to the finance system</w:t>
      </w:r>
      <w:r w:rsidR="00C10C9B">
        <w:t>, including:</w:t>
      </w:r>
    </w:p>
    <w:p w14:paraId="5708A512" w14:textId="0CFC7866" w:rsidR="00C72094" w:rsidRDefault="002D49EA" w:rsidP="00812EAC">
      <w:pPr>
        <w:pStyle w:val="NumberedSecondLevel"/>
      </w:pPr>
      <w:r>
        <w:t>p</w:t>
      </w:r>
      <w:r w:rsidR="00C72094">
        <w:t>ayments to examiners of research thes</w:t>
      </w:r>
      <w:r w:rsidR="00943A50">
        <w:t>e</w:t>
      </w:r>
      <w:r w:rsidR="00C72094">
        <w:t xml:space="preserve">s </w:t>
      </w:r>
      <w:r w:rsidR="002D3701">
        <w:t xml:space="preserve">which </w:t>
      </w:r>
      <w:r w:rsidR="00271B96">
        <w:t xml:space="preserve">are </w:t>
      </w:r>
      <w:r w:rsidR="00C72094">
        <w:t xml:space="preserve">implemented through the </w:t>
      </w:r>
      <w:hyperlink r:id="rId24" w:history="1">
        <w:r w:rsidR="00C72094" w:rsidRPr="00666EAB">
          <w:rPr>
            <w:rStyle w:val="Hyperlink"/>
          </w:rPr>
          <w:t>Higher Degree Research Administration Centre (HDRAC)</w:t>
        </w:r>
      </w:hyperlink>
      <w:r w:rsidR="00C72094">
        <w:t xml:space="preserve"> and paid through the </w:t>
      </w:r>
      <w:r w:rsidR="00A81991">
        <w:t>finance</w:t>
      </w:r>
      <w:r w:rsidR="00C72094">
        <w:t xml:space="preserve"> system</w:t>
      </w:r>
      <w:r w:rsidR="00B871D0">
        <w:t>;</w:t>
      </w:r>
      <w:r w:rsidR="000F301E">
        <w:t xml:space="preserve"> and</w:t>
      </w:r>
    </w:p>
    <w:p w14:paraId="51C32B51" w14:textId="0F182698" w:rsidR="0095716E" w:rsidRDefault="0095716E" w:rsidP="005C7996">
      <w:pPr>
        <w:pStyle w:val="NumberedSecondLevel"/>
      </w:pPr>
      <w:r>
        <w:t xml:space="preserve">student </w:t>
      </w:r>
      <w:r w:rsidR="00B321DC">
        <w:t>payments</w:t>
      </w:r>
      <w:r w:rsidR="00823BBE">
        <w:t>.</w:t>
      </w:r>
    </w:p>
    <w:p w14:paraId="4D9B1226" w14:textId="668F8A6A" w:rsidR="00454CD8" w:rsidRDefault="00454CD8" w:rsidP="00337FC9">
      <w:pPr>
        <w:pStyle w:val="NumberedFirstLevel"/>
      </w:pPr>
      <w:r w:rsidRPr="00A952D2">
        <w:lastRenderedPageBreak/>
        <w:t>Payments to staff</w:t>
      </w:r>
      <w:r>
        <w:t xml:space="preserve"> must be made through the travel and expense management system or the human resources payroll system</w:t>
      </w:r>
      <w:r w:rsidR="006748CD">
        <w:t>.</w:t>
      </w:r>
      <w:r>
        <w:t xml:space="preserve"> </w:t>
      </w:r>
    </w:p>
    <w:p w14:paraId="51141CE9" w14:textId="3E1F12F3" w:rsidR="00454CD8" w:rsidRDefault="006748CD" w:rsidP="00337FC9">
      <w:pPr>
        <w:pStyle w:val="NumberedFirstLevel"/>
      </w:pPr>
      <w:r w:rsidRPr="00A952D2">
        <w:t>P</w:t>
      </w:r>
      <w:r w:rsidR="00454CD8" w:rsidRPr="00A952D2">
        <w:t>ayments to students</w:t>
      </w:r>
      <w:r w:rsidR="00454CD8">
        <w:t xml:space="preserve"> for scholarships, prizes, awards and bursaries </w:t>
      </w:r>
      <w:r w:rsidR="00AC1195">
        <w:t xml:space="preserve">managed by Student Administration Services </w:t>
      </w:r>
      <w:r w:rsidR="008073BB">
        <w:t xml:space="preserve">should </w:t>
      </w:r>
      <w:r w:rsidR="00454CD8">
        <w:t xml:space="preserve">be made through the </w:t>
      </w:r>
      <w:r w:rsidR="006B43ED">
        <w:t>student administration</w:t>
      </w:r>
      <w:r w:rsidR="00454CD8">
        <w:t xml:space="preserve"> system.</w:t>
      </w:r>
    </w:p>
    <w:p w14:paraId="60C4AB3A" w14:textId="506E5DFC" w:rsidR="002A0A7F" w:rsidRDefault="002A0A7F" w:rsidP="00337FC9">
      <w:pPr>
        <w:pStyle w:val="NumberedFirstLevel"/>
      </w:pPr>
      <w:r>
        <w:t>Pay</w:t>
      </w:r>
      <w:r w:rsidR="00ED6341">
        <w:t xml:space="preserve">ments to </w:t>
      </w:r>
      <w:r w:rsidR="00B22F4F">
        <w:t>h</w:t>
      </w:r>
      <w:r w:rsidR="00ED6341">
        <w:t xml:space="preserve">igher </w:t>
      </w:r>
      <w:r w:rsidR="00B22F4F">
        <w:t>d</w:t>
      </w:r>
      <w:r w:rsidR="00ED6341">
        <w:t xml:space="preserve">egree </w:t>
      </w:r>
      <w:r w:rsidR="00B22F4F">
        <w:t>by r</w:t>
      </w:r>
      <w:r w:rsidR="00ED6341">
        <w:t>esearch</w:t>
      </w:r>
      <w:r w:rsidR="00B80CC5">
        <w:t xml:space="preserve"> students must be made through the travel and expense management system.</w:t>
      </w:r>
    </w:p>
    <w:p w14:paraId="016E0B15" w14:textId="49696FB2" w:rsidR="00E435C8" w:rsidRDefault="000274BC" w:rsidP="00F46ABE">
      <w:pPr>
        <w:pStyle w:val="Heading4"/>
      </w:pPr>
      <w:bookmarkStart w:id="22" w:name="_Toc115167935"/>
      <w:r>
        <w:t>1</w:t>
      </w:r>
      <w:r w:rsidR="007123AF">
        <w:t>4</w:t>
      </w:r>
      <w:r w:rsidR="00E435C8">
        <w:tab/>
      </w:r>
      <w:r w:rsidR="00581E58">
        <w:t>Payments</w:t>
      </w:r>
      <w:r w:rsidR="0062567B">
        <w:t xml:space="preserve"> originating from other systems</w:t>
      </w:r>
      <w:bookmarkEnd w:id="22"/>
    </w:p>
    <w:p w14:paraId="75ABD448" w14:textId="7C9AAB0D" w:rsidR="00E435C8" w:rsidRDefault="0062567B" w:rsidP="00A952D2">
      <w:pPr>
        <w:pStyle w:val="NumberedFirstLevel"/>
        <w:numPr>
          <w:ilvl w:val="0"/>
          <w:numId w:val="0"/>
        </w:numPr>
      </w:pPr>
      <w:r>
        <w:t>P</w:t>
      </w:r>
      <w:r w:rsidR="00032449">
        <w:t xml:space="preserve">ayments will be processed in the </w:t>
      </w:r>
      <w:r w:rsidR="00F576AA">
        <w:t>finance</w:t>
      </w:r>
      <w:r w:rsidR="00032449">
        <w:t xml:space="preserve"> system for the follo</w:t>
      </w:r>
      <w:r w:rsidR="00C2303D">
        <w:t>wing designated systems</w:t>
      </w:r>
      <w:r w:rsidR="00505EF0">
        <w:t>:</w:t>
      </w:r>
    </w:p>
    <w:p w14:paraId="627D59DA" w14:textId="1455720B" w:rsidR="00505EF0" w:rsidRDefault="00505EF0" w:rsidP="00A952D2">
      <w:pPr>
        <w:pStyle w:val="NumberedSecondLevel"/>
        <w:numPr>
          <w:ilvl w:val="2"/>
          <w:numId w:val="32"/>
        </w:numPr>
      </w:pPr>
      <w:r>
        <w:t>travel and expense management system;</w:t>
      </w:r>
      <w:r w:rsidR="007C222C">
        <w:t xml:space="preserve"> </w:t>
      </w:r>
    </w:p>
    <w:p w14:paraId="290BF2A3" w14:textId="1044B57C" w:rsidR="00CC0D5A" w:rsidRDefault="00505EF0" w:rsidP="00656310">
      <w:pPr>
        <w:pStyle w:val="NumberedSecondLevel"/>
      </w:pPr>
      <w:r>
        <w:t>library purchasing system</w:t>
      </w:r>
      <w:r w:rsidR="004A696F">
        <w:t>; and</w:t>
      </w:r>
    </w:p>
    <w:p w14:paraId="507F4754" w14:textId="1617CBF2" w:rsidR="004A696F" w:rsidRPr="00017830" w:rsidRDefault="004A696F" w:rsidP="00656310">
      <w:pPr>
        <w:pStyle w:val="NumberedSecondLevel"/>
      </w:pPr>
      <w:r>
        <w:t>student commissions.</w:t>
      </w:r>
    </w:p>
    <w:p w14:paraId="5BFBBC13" w14:textId="25E65E2A" w:rsidR="00E435C8" w:rsidRDefault="00612AB9" w:rsidP="00E435C8">
      <w:pPr>
        <w:pStyle w:val="Heading4"/>
      </w:pPr>
      <w:bookmarkStart w:id="23" w:name="_Toc115167936"/>
      <w:r>
        <w:t>1</w:t>
      </w:r>
      <w:r w:rsidR="007123AF">
        <w:t>5</w:t>
      </w:r>
      <w:r w:rsidR="00E435C8">
        <w:tab/>
      </w:r>
      <w:r w:rsidR="00FA45FE">
        <w:t>Goods and services tax (GST)</w:t>
      </w:r>
      <w:bookmarkEnd w:id="23"/>
    </w:p>
    <w:p w14:paraId="636B1C43" w14:textId="6CD7B7A2" w:rsidR="00E435C8" w:rsidRPr="00544605" w:rsidRDefault="00E531DD" w:rsidP="00A952D2">
      <w:pPr>
        <w:pStyle w:val="NumberedFirstLevel"/>
        <w:numPr>
          <w:ilvl w:val="0"/>
          <w:numId w:val="0"/>
        </w:numPr>
      </w:pPr>
      <w:r>
        <w:rPr>
          <w:iCs/>
        </w:rPr>
        <w:t xml:space="preserve">GST is accounted for in </w:t>
      </w:r>
      <w:r w:rsidR="00F576AA">
        <w:rPr>
          <w:iCs/>
        </w:rPr>
        <w:t xml:space="preserve">the finance system </w:t>
      </w:r>
      <w:r>
        <w:rPr>
          <w:iCs/>
        </w:rPr>
        <w:t xml:space="preserve">based on the GST code entered </w:t>
      </w:r>
      <w:r w:rsidR="00F576AA">
        <w:rPr>
          <w:iCs/>
        </w:rPr>
        <w:t>when recording the invoice</w:t>
      </w:r>
      <w:r>
        <w:rPr>
          <w:iCs/>
        </w:rPr>
        <w:t>.</w:t>
      </w:r>
    </w:p>
    <w:p w14:paraId="2BFF7BF5" w14:textId="7DC2ABD5" w:rsidR="00F576AA" w:rsidRDefault="00544605" w:rsidP="00A952D2">
      <w:pPr>
        <w:pStyle w:val="NumberedSecondLevel"/>
        <w:numPr>
          <w:ilvl w:val="2"/>
          <w:numId w:val="33"/>
        </w:numPr>
      </w:pPr>
      <w:r>
        <w:t>The system default</w:t>
      </w:r>
      <w:r w:rsidR="00970BDA">
        <w:t xml:space="preserve"> taxable code is GST standard, where the payment voucher includes 10% GST.</w:t>
      </w:r>
    </w:p>
    <w:p w14:paraId="30470D94" w14:textId="7B6F2ACE" w:rsidR="00F576AA" w:rsidRDefault="00F576AA" w:rsidP="00F576AA">
      <w:pPr>
        <w:pStyle w:val="NumberedSecondLevel"/>
      </w:pPr>
      <w:r>
        <w:t>In the UniBuy procurement system the supplier is responsible for submitting the correct tax treatment for their invoice.</w:t>
      </w:r>
    </w:p>
    <w:p w14:paraId="069DAD4F" w14:textId="49D3D60D" w:rsidR="00970BDA" w:rsidRDefault="00970BDA" w:rsidP="00544605">
      <w:pPr>
        <w:pStyle w:val="NumberedSecondLevel"/>
      </w:pPr>
      <w:r>
        <w:t xml:space="preserve">The </w:t>
      </w:r>
      <w:r w:rsidR="00982DC8">
        <w:t>Accounts Payable Team</w:t>
      </w:r>
      <w:r>
        <w:t xml:space="preserve"> is responsible for verifying the correct GST code has been applied.</w:t>
      </w:r>
    </w:p>
    <w:p w14:paraId="0BC74B22" w14:textId="77777777" w:rsidR="003146E3" w:rsidRDefault="00970BDA" w:rsidP="00544605">
      <w:pPr>
        <w:pStyle w:val="NumberedSecondLevel"/>
      </w:pPr>
      <w:r>
        <w:t xml:space="preserve">The payment amount exclusive of GST will be shown against the </w:t>
      </w:r>
      <w:r w:rsidR="00EF5E33">
        <w:t xml:space="preserve">business unit’s </w:t>
      </w:r>
      <w:r>
        <w:t xml:space="preserve">account code </w:t>
      </w:r>
      <w:r w:rsidR="00EF5E33">
        <w:t xml:space="preserve">entered for the payment voucher. </w:t>
      </w:r>
    </w:p>
    <w:p w14:paraId="7A512A8D" w14:textId="63FD6EB3" w:rsidR="00970BDA" w:rsidRPr="00017830" w:rsidRDefault="00EF5E33" w:rsidP="00544605">
      <w:pPr>
        <w:pStyle w:val="NumberedSecondLevel"/>
      </w:pPr>
      <w:r>
        <w:t xml:space="preserve">The GST amount is accounted for in a central account for </w:t>
      </w:r>
      <w:r w:rsidR="003146E3">
        <w:t xml:space="preserve">Financial Control and Treasury to </w:t>
      </w:r>
      <w:r>
        <w:t>complet</w:t>
      </w:r>
      <w:r w:rsidR="003146E3">
        <w:t>e</w:t>
      </w:r>
      <w:r>
        <w:t xml:space="preserve"> the monthly Australian Taxation Office business activity statement</w:t>
      </w:r>
      <w:r w:rsidR="003146E3">
        <w:t xml:space="preserve"> return</w:t>
      </w:r>
      <w:r>
        <w:t>.</w:t>
      </w:r>
    </w:p>
    <w:p w14:paraId="1F281DBE" w14:textId="4B866113" w:rsidR="00E435C8" w:rsidRDefault="00A5338A" w:rsidP="00E435C8">
      <w:pPr>
        <w:pStyle w:val="Heading4"/>
      </w:pPr>
      <w:bookmarkStart w:id="24" w:name="_Toc115167937"/>
      <w:r>
        <w:t>1</w:t>
      </w:r>
      <w:r w:rsidR="007123AF">
        <w:t>6</w:t>
      </w:r>
      <w:r w:rsidR="00E435C8">
        <w:tab/>
      </w:r>
      <w:r w:rsidR="009F5E0F">
        <w:t>Payments to suppliers</w:t>
      </w:r>
      <w:r w:rsidR="00DC31BB">
        <w:t xml:space="preserve"> and payees</w:t>
      </w:r>
      <w:bookmarkEnd w:id="24"/>
    </w:p>
    <w:p w14:paraId="61925A48" w14:textId="08927B81" w:rsidR="00D32686" w:rsidRPr="00D32686" w:rsidRDefault="00E82FC1" w:rsidP="00FC0779">
      <w:pPr>
        <w:pStyle w:val="NumberedFirstLevel"/>
        <w:numPr>
          <w:ilvl w:val="1"/>
          <w:numId w:val="20"/>
        </w:numPr>
      </w:pPr>
      <w:r>
        <w:rPr>
          <w:iCs/>
        </w:rPr>
        <w:t xml:space="preserve">Payments to suppliers </w:t>
      </w:r>
      <w:r w:rsidR="00D32686">
        <w:rPr>
          <w:iCs/>
        </w:rPr>
        <w:t xml:space="preserve">and payees </w:t>
      </w:r>
      <w:r>
        <w:rPr>
          <w:iCs/>
        </w:rPr>
        <w:t xml:space="preserve">are generated by the </w:t>
      </w:r>
      <w:r w:rsidR="009D6EE9">
        <w:rPr>
          <w:iCs/>
        </w:rPr>
        <w:t>Treasury Analyst</w:t>
      </w:r>
      <w:r w:rsidR="008152A7">
        <w:rPr>
          <w:iCs/>
        </w:rPr>
        <w:t>.</w:t>
      </w:r>
    </w:p>
    <w:p w14:paraId="56CD6303" w14:textId="35EED881" w:rsidR="0043075E" w:rsidRDefault="00067567" w:rsidP="00E82FC1">
      <w:pPr>
        <w:pStyle w:val="NumberedSecondLevel"/>
      </w:pPr>
      <w:r>
        <w:t xml:space="preserve">Payment </w:t>
      </w:r>
      <w:r w:rsidR="0043075E">
        <w:t>is generally</w:t>
      </w:r>
      <w:r w:rsidR="00561313">
        <w:t xml:space="preserve"> by</w:t>
      </w:r>
      <w:r w:rsidR="0043075E">
        <w:t>:</w:t>
      </w:r>
    </w:p>
    <w:p w14:paraId="4C9900DF" w14:textId="66A300DC" w:rsidR="0043075E" w:rsidRDefault="0043075E" w:rsidP="0043075E">
      <w:pPr>
        <w:pStyle w:val="NumberedThirdLevel"/>
      </w:pPr>
      <w:r>
        <w:t xml:space="preserve">electronic funds transfer (EFT) for </w:t>
      </w:r>
      <w:r w:rsidR="00D55D32">
        <w:t xml:space="preserve">suppliers </w:t>
      </w:r>
      <w:r w:rsidR="00977CC7">
        <w:t xml:space="preserve">and payees </w:t>
      </w:r>
      <w:r w:rsidR="00D55D32">
        <w:t>with an Australian bank account</w:t>
      </w:r>
      <w:r>
        <w:t xml:space="preserve">; and </w:t>
      </w:r>
    </w:p>
    <w:p w14:paraId="02ABDD94" w14:textId="49B03E54" w:rsidR="0043075E" w:rsidRDefault="0043075E" w:rsidP="0043075E">
      <w:pPr>
        <w:pStyle w:val="NumberedThirdLevel"/>
      </w:pPr>
      <w:r>
        <w:t>telegraphic transfer (TT) for suppliers</w:t>
      </w:r>
      <w:r w:rsidR="00D55D32">
        <w:t xml:space="preserve"> </w:t>
      </w:r>
      <w:r w:rsidR="00977CC7">
        <w:t xml:space="preserve">and payees </w:t>
      </w:r>
      <w:r w:rsidR="00D55D32">
        <w:t>with an overseas bank account</w:t>
      </w:r>
      <w:r>
        <w:t>.</w:t>
      </w:r>
    </w:p>
    <w:p w14:paraId="2B4E01D4" w14:textId="68B40D00" w:rsidR="00E82FC1" w:rsidRDefault="00E82FC1" w:rsidP="00E82FC1">
      <w:pPr>
        <w:pStyle w:val="NumberedSecondLevel"/>
      </w:pPr>
      <w:r>
        <w:t xml:space="preserve">Payment runs are generated on </w:t>
      </w:r>
      <w:r w:rsidR="0043075E">
        <w:t xml:space="preserve">the following </w:t>
      </w:r>
      <w:r>
        <w:t>working days:</w:t>
      </w:r>
    </w:p>
    <w:p w14:paraId="1CDD9337" w14:textId="65B52195" w:rsidR="00E82FC1" w:rsidRDefault="00E82FC1" w:rsidP="00E82FC1">
      <w:pPr>
        <w:pStyle w:val="NumberedThirdLevel"/>
      </w:pPr>
      <w:r>
        <w:t>suppliers</w:t>
      </w:r>
      <w:r w:rsidR="00D55D32">
        <w:t xml:space="preserve"> </w:t>
      </w:r>
      <w:r w:rsidR="00977CC7">
        <w:t xml:space="preserve">and payees </w:t>
      </w:r>
      <w:r w:rsidR="00D55D32">
        <w:t>with an Australian bank account</w:t>
      </w:r>
      <w:r>
        <w:t>: Tuesday and Friday;</w:t>
      </w:r>
    </w:p>
    <w:p w14:paraId="312D2FAB" w14:textId="5EC7981F" w:rsidR="00E82FC1" w:rsidRDefault="00E82FC1" w:rsidP="00E82FC1">
      <w:pPr>
        <w:pStyle w:val="NumberedThirdLevel"/>
      </w:pPr>
      <w:r>
        <w:t>students: Tuesday and Friday; and</w:t>
      </w:r>
    </w:p>
    <w:p w14:paraId="472EE185" w14:textId="55455900" w:rsidR="00E82FC1" w:rsidRDefault="00E82FC1" w:rsidP="00E82FC1">
      <w:pPr>
        <w:pStyle w:val="NumberedThirdLevel"/>
      </w:pPr>
      <w:r>
        <w:t>suppliers</w:t>
      </w:r>
      <w:r w:rsidR="00D55D32">
        <w:t xml:space="preserve"> </w:t>
      </w:r>
      <w:r w:rsidR="00CD62D4">
        <w:t xml:space="preserve">and payees </w:t>
      </w:r>
      <w:r w:rsidR="00D55D32">
        <w:t>with an overseas bank account</w:t>
      </w:r>
      <w:r>
        <w:t>: Thursday.</w:t>
      </w:r>
    </w:p>
    <w:p w14:paraId="540A5B5B" w14:textId="26AEFB3E" w:rsidR="0043075E" w:rsidRDefault="0043075E" w:rsidP="0043075E">
      <w:pPr>
        <w:pStyle w:val="NumberedSecondLevel"/>
      </w:pPr>
      <w:r>
        <w:lastRenderedPageBreak/>
        <w:t xml:space="preserve">EFT payments are generally deposited in a supplier’s </w:t>
      </w:r>
      <w:r w:rsidR="00CD62D4">
        <w:t xml:space="preserve">or payee’s </w:t>
      </w:r>
      <w:r>
        <w:t>bank account within two working days after the payment has been generated.</w:t>
      </w:r>
    </w:p>
    <w:p w14:paraId="263CF8FF" w14:textId="24E7E8C9" w:rsidR="0043075E" w:rsidRDefault="0043075E" w:rsidP="0043075E">
      <w:pPr>
        <w:pStyle w:val="NumberedFirstLevel"/>
      </w:pPr>
      <w:r>
        <w:t xml:space="preserve">In </w:t>
      </w:r>
      <w:r w:rsidR="00067567">
        <w:t xml:space="preserve">exceptional </w:t>
      </w:r>
      <w:r>
        <w:t xml:space="preserve">circumstances the </w:t>
      </w:r>
      <w:r w:rsidR="009D6EE9">
        <w:t>Treasury Analyst</w:t>
      </w:r>
      <w:r w:rsidR="00B47A05">
        <w:t xml:space="preserve"> can arrange for a payment to be made by cheque rather than EFT.</w:t>
      </w:r>
    </w:p>
    <w:p w14:paraId="3595D2BF" w14:textId="16CFDC4A" w:rsidR="00B47A05" w:rsidRDefault="00B47A05" w:rsidP="00B47A05">
      <w:pPr>
        <w:pStyle w:val="NumberedSecondLevel"/>
      </w:pPr>
      <w:r>
        <w:t xml:space="preserve">The </w:t>
      </w:r>
      <w:r w:rsidR="009D6EE9">
        <w:t>Treasury Analyst</w:t>
      </w:r>
      <w:r>
        <w:t xml:space="preserve"> can make additional payment runs, subject to the approval of the </w:t>
      </w:r>
      <w:r w:rsidR="0021644C">
        <w:t>Treasurer</w:t>
      </w:r>
      <w:r>
        <w:t>.</w:t>
      </w:r>
    </w:p>
    <w:p w14:paraId="2A229208" w14:textId="19F01D93" w:rsidR="00D60EBF" w:rsidRDefault="00D60EBF" w:rsidP="00B47A05">
      <w:pPr>
        <w:pStyle w:val="NumberedSecondLevel"/>
      </w:pPr>
      <w:r>
        <w:t xml:space="preserve">To cancel an unpresented cheque payment, the business unit must complete a </w:t>
      </w:r>
      <w:hyperlink r:id="rId25" w:history="1">
        <w:r w:rsidRPr="00D60EBF">
          <w:rPr>
            <w:rStyle w:val="Hyperlink"/>
          </w:rPr>
          <w:t>cheque cancellation notification form</w:t>
        </w:r>
      </w:hyperlink>
      <w:r>
        <w:t xml:space="preserve"> and send it to the </w:t>
      </w:r>
      <w:r w:rsidR="009D6EE9">
        <w:t>Treasury Analyst</w:t>
      </w:r>
      <w:r w:rsidR="006A5B76">
        <w:t xml:space="preserve"> </w:t>
      </w:r>
      <w:r w:rsidR="00AA34D1">
        <w:t xml:space="preserve">at </w:t>
      </w:r>
      <w:hyperlink r:id="rId26" w:history="1">
        <w:r w:rsidR="00AA34D1" w:rsidRPr="005248EF">
          <w:rPr>
            <w:rStyle w:val="Hyperlink"/>
          </w:rPr>
          <w:t>Syd_Uni_Treasury_Ops@sydney.edu.au</w:t>
        </w:r>
      </w:hyperlink>
      <w:r w:rsidR="00AA34D1">
        <w:t>.</w:t>
      </w:r>
    </w:p>
    <w:p w14:paraId="11783134" w14:textId="2F7E8446" w:rsidR="00E435C8" w:rsidRPr="00017830" w:rsidRDefault="009E5D08" w:rsidP="00B919F3">
      <w:pPr>
        <w:pStyle w:val="NumberedFirstLevel"/>
      </w:pPr>
      <w:r>
        <w:t xml:space="preserve">Payment run schedules are approved by the relevant delegate, as specified in the </w:t>
      </w:r>
      <w:hyperlink r:id="rId27" w:history="1">
        <w:r w:rsidR="00EF2E2E" w:rsidRPr="00EF2E2E">
          <w:rPr>
            <w:rStyle w:val="Hyperlink"/>
            <w:i/>
            <w:iCs/>
          </w:rPr>
          <w:t>University of Sydney (Delegations of Authority) Rule 2020.</w:t>
        </w:r>
      </w:hyperlink>
    </w:p>
    <w:p w14:paraId="2500848C" w14:textId="1914FD00" w:rsidR="009E5D08" w:rsidRDefault="00C71DED" w:rsidP="009E5D08">
      <w:pPr>
        <w:pStyle w:val="Heading4"/>
      </w:pPr>
      <w:bookmarkStart w:id="25" w:name="_Toc115167938"/>
      <w:r>
        <w:t>1</w:t>
      </w:r>
      <w:r w:rsidR="007123AF">
        <w:t>7</w:t>
      </w:r>
      <w:r w:rsidR="009E5D08">
        <w:tab/>
      </w:r>
      <w:r w:rsidR="005A43E0">
        <w:t>Retention of records</w:t>
      </w:r>
      <w:bookmarkEnd w:id="25"/>
    </w:p>
    <w:p w14:paraId="53D53B9F" w14:textId="4DB60684" w:rsidR="005A43E0" w:rsidRDefault="00AF4C90" w:rsidP="00337FC9">
      <w:pPr>
        <w:pStyle w:val="NumberedFirstLevel"/>
        <w:numPr>
          <w:ilvl w:val="0"/>
          <w:numId w:val="0"/>
        </w:numPr>
      </w:pPr>
      <w:r>
        <w:t>All payment voucher supporting documentation should be scanned into the relevant systems.</w:t>
      </w:r>
    </w:p>
    <w:p w14:paraId="5B24DDF4" w14:textId="5D85EC37" w:rsidR="00AF4C90" w:rsidRDefault="00AF4C90" w:rsidP="0086595F">
      <w:pPr>
        <w:pStyle w:val="NumberedSecondLevel"/>
        <w:numPr>
          <w:ilvl w:val="2"/>
          <w:numId w:val="34"/>
        </w:numPr>
      </w:pPr>
      <w:r>
        <w:t>The original supporting documentation must be retained by the business unit until the University’s relevant annual financial report is published.</w:t>
      </w:r>
    </w:p>
    <w:p w14:paraId="1044F61C" w14:textId="590BDB0D" w:rsidR="00AF4C90" w:rsidRDefault="00AF5545" w:rsidP="00AF4C90">
      <w:pPr>
        <w:pStyle w:val="NumberedSecondLevel"/>
      </w:pPr>
      <w:r>
        <w:t xml:space="preserve">Any supporting documentation that has not been scanned into the relevant systems must be retained by the business unit in accordance with the </w:t>
      </w:r>
      <w:hyperlink r:id="rId28" w:history="1">
        <w:r w:rsidRPr="001402D2">
          <w:rPr>
            <w:rStyle w:val="Hyperlink"/>
            <w:i/>
          </w:rPr>
          <w:t>Recordkeeping Policy 2017</w:t>
        </w:r>
      </w:hyperlink>
      <w:r>
        <w:t xml:space="preserve"> and </w:t>
      </w:r>
      <w:hyperlink r:id="rId29" w:history="1">
        <w:r w:rsidRPr="001402D2">
          <w:rPr>
            <w:rStyle w:val="Hyperlink"/>
            <w:i/>
          </w:rPr>
          <w:t>Recordkeeping Manual</w:t>
        </w:r>
      </w:hyperlink>
      <w:r>
        <w:t>.</w:t>
      </w:r>
    </w:p>
    <w:p w14:paraId="43699FB7" w14:textId="75C3D5B1" w:rsidR="00AF5545" w:rsidRDefault="00AF5545" w:rsidP="0086595F">
      <w:pPr>
        <w:pStyle w:val="NormalNotes"/>
        <w:ind w:left="1763" w:hanging="629"/>
      </w:pPr>
      <w:r w:rsidRPr="00AF5545">
        <w:rPr>
          <w:b/>
          <w:bCs/>
        </w:rPr>
        <w:t>Note:</w:t>
      </w:r>
      <w:r>
        <w:t xml:space="preserve"> </w:t>
      </w:r>
      <w:r>
        <w:tab/>
        <w:t xml:space="preserve">At the date of these procedures, records are to be retained for a minimum of </w:t>
      </w:r>
      <w:r w:rsidR="005322B7">
        <w:t xml:space="preserve">seven </w:t>
      </w:r>
      <w:r>
        <w:t>years.</w:t>
      </w:r>
    </w:p>
    <w:p w14:paraId="52E75EA9" w14:textId="68AE4502" w:rsidR="00D511FB" w:rsidRDefault="00C71DED" w:rsidP="009E5D08">
      <w:pPr>
        <w:pStyle w:val="Heading4"/>
      </w:pPr>
      <w:bookmarkStart w:id="26" w:name="_Toc115167939"/>
      <w:r>
        <w:t>1</w:t>
      </w:r>
      <w:r w:rsidR="007123AF">
        <w:t>8</w:t>
      </w:r>
      <w:r w:rsidR="00D511FB">
        <w:tab/>
        <w:t>R</w:t>
      </w:r>
      <w:r w:rsidR="0096114B">
        <w:t>oles and r</w:t>
      </w:r>
      <w:r w:rsidR="00D511FB">
        <w:t>esponsibilities</w:t>
      </w:r>
      <w:bookmarkEnd w:id="26"/>
    </w:p>
    <w:p w14:paraId="2E4DDF12" w14:textId="548F7C7D" w:rsidR="00D511FB" w:rsidRDefault="0096114B" w:rsidP="004316FE">
      <w:pPr>
        <w:pStyle w:val="NumberedFirstLevel"/>
        <w:numPr>
          <w:ilvl w:val="1"/>
          <w:numId w:val="25"/>
        </w:numPr>
      </w:pPr>
      <w:r>
        <w:rPr>
          <w:b/>
          <w:bCs/>
        </w:rPr>
        <w:t>Business units</w:t>
      </w:r>
      <w:r w:rsidR="00AC1CA9">
        <w:rPr>
          <w:b/>
          <w:bCs/>
        </w:rPr>
        <w:t>,</w:t>
      </w:r>
      <w:r>
        <w:rPr>
          <w:b/>
          <w:bCs/>
        </w:rPr>
        <w:t xml:space="preserve"> </w:t>
      </w:r>
      <w:r w:rsidR="00AC1CA9">
        <w:rPr>
          <w:b/>
          <w:bCs/>
        </w:rPr>
        <w:t>including the UniBuy Desk</w:t>
      </w:r>
      <w:r w:rsidR="006A5B76">
        <w:rPr>
          <w:b/>
          <w:bCs/>
        </w:rPr>
        <w:t>, Finance Operations</w:t>
      </w:r>
      <w:r w:rsidR="00AC1CA9">
        <w:rPr>
          <w:b/>
          <w:bCs/>
        </w:rPr>
        <w:t xml:space="preserve">, </w:t>
      </w:r>
      <w:r>
        <w:t>are responsible for:</w:t>
      </w:r>
    </w:p>
    <w:p w14:paraId="7ADBDD80" w14:textId="617DA353" w:rsidR="00747F15" w:rsidRDefault="0048144C" w:rsidP="0096114B">
      <w:pPr>
        <w:pStyle w:val="NumberedSecondLevel"/>
      </w:pPr>
      <w:r>
        <w:t xml:space="preserve">facilitating </w:t>
      </w:r>
      <w:r w:rsidR="00067567">
        <w:t>receipt</w:t>
      </w:r>
      <w:r w:rsidR="00B27A31">
        <w:t xml:space="preserve"> of</w:t>
      </w:r>
      <w:r w:rsidR="00747F15">
        <w:t xml:space="preserve"> supplier </w:t>
      </w:r>
      <w:r w:rsidR="0069215F">
        <w:t xml:space="preserve">and payee </w:t>
      </w:r>
      <w:r w:rsidR="00747F15">
        <w:t>details to create, amend or inactivate a supplier, prior to submitting the request;</w:t>
      </w:r>
      <w:r w:rsidR="00863CBE">
        <w:t xml:space="preserve"> and</w:t>
      </w:r>
    </w:p>
    <w:p w14:paraId="2CCF2AAE" w14:textId="5A28FE5E" w:rsidR="00AC1CA9" w:rsidRDefault="006C2B8D" w:rsidP="0096114B">
      <w:pPr>
        <w:pStyle w:val="NumberedSecondLevel"/>
      </w:pPr>
      <w:r>
        <w:t xml:space="preserve">correctly entering </w:t>
      </w:r>
      <w:r w:rsidR="002B5CC4">
        <w:t xml:space="preserve">data in the finance system </w:t>
      </w:r>
      <w:r w:rsidR="00863CBE">
        <w:t xml:space="preserve">and </w:t>
      </w:r>
      <w:r w:rsidR="0089239E">
        <w:t xml:space="preserve">attaching </w:t>
      </w:r>
      <w:r w:rsidR="00863CBE">
        <w:t xml:space="preserve">all </w:t>
      </w:r>
      <w:r w:rsidR="00067567">
        <w:t xml:space="preserve">required </w:t>
      </w:r>
      <w:r w:rsidR="00AC1CA9">
        <w:t>supporting documentation, including bank details</w:t>
      </w:r>
      <w:r w:rsidR="00067567">
        <w:t>.</w:t>
      </w:r>
      <w:r w:rsidR="00C01C49">
        <w:t xml:space="preserve"> </w:t>
      </w:r>
    </w:p>
    <w:p w14:paraId="6E50D816" w14:textId="1AB6E755" w:rsidR="005759E5" w:rsidRDefault="00AC1CA9" w:rsidP="0086595F">
      <w:pPr>
        <w:pStyle w:val="NumberedFirstLevel"/>
      </w:pPr>
      <w:r w:rsidRPr="0089239E">
        <w:rPr>
          <w:b/>
          <w:bCs/>
        </w:rPr>
        <w:t>Procurement Enablement</w:t>
      </w:r>
      <w:r w:rsidR="00747F15" w:rsidRPr="0089239E">
        <w:rPr>
          <w:b/>
          <w:bCs/>
        </w:rPr>
        <w:t xml:space="preserve"> Team, </w:t>
      </w:r>
      <w:r w:rsidR="006A5B76">
        <w:rPr>
          <w:b/>
          <w:bCs/>
        </w:rPr>
        <w:t>Finance Operations</w:t>
      </w:r>
      <w:r w:rsidR="00747F15">
        <w:t xml:space="preserve"> are responsible for</w:t>
      </w:r>
      <w:r w:rsidR="005759E5">
        <w:t>:</w:t>
      </w:r>
    </w:p>
    <w:p w14:paraId="63245F61" w14:textId="4AD15B0B" w:rsidR="005759E5" w:rsidRDefault="005759E5" w:rsidP="005C7996">
      <w:pPr>
        <w:pStyle w:val="NumberedSecondLevel"/>
      </w:pPr>
      <w:r>
        <w:t>managing</w:t>
      </w:r>
      <w:r w:rsidR="00747F15">
        <w:t xml:space="preserve"> all supplier </w:t>
      </w:r>
      <w:r w:rsidR="001A7A99">
        <w:t xml:space="preserve">and payee </w:t>
      </w:r>
      <w:r w:rsidR="00747F15">
        <w:t>detail</w:t>
      </w:r>
      <w:r>
        <w:t xml:space="preserve">s in the </w:t>
      </w:r>
      <w:r w:rsidR="001E20A6">
        <w:t>finance system, including</w:t>
      </w:r>
      <w:r w:rsidR="00747F15">
        <w:t xml:space="preserve"> requests to create, amend or inactivate a supplier</w:t>
      </w:r>
      <w:r w:rsidR="00AD27DB">
        <w:t>.</w:t>
      </w:r>
    </w:p>
    <w:p w14:paraId="170CB215" w14:textId="385ADB10" w:rsidR="0096114B" w:rsidRDefault="0096114B" w:rsidP="0096114B">
      <w:pPr>
        <w:pStyle w:val="NumberedFirstLevel"/>
      </w:pPr>
      <w:r w:rsidRPr="0096114B">
        <w:rPr>
          <w:b/>
          <w:bCs/>
        </w:rPr>
        <w:t>Accounts Payable Team</w:t>
      </w:r>
      <w:r w:rsidR="00747F15">
        <w:rPr>
          <w:b/>
          <w:bCs/>
        </w:rPr>
        <w:t xml:space="preserve">, </w:t>
      </w:r>
      <w:r w:rsidR="006A5B76">
        <w:rPr>
          <w:b/>
          <w:bCs/>
        </w:rPr>
        <w:t>Finance Operations</w:t>
      </w:r>
      <w:r>
        <w:t xml:space="preserve"> are responsible for:</w:t>
      </w:r>
    </w:p>
    <w:p w14:paraId="1A902CB5" w14:textId="2470EEC4" w:rsidR="008140D3" w:rsidRDefault="00EA4A47" w:rsidP="0096114B">
      <w:pPr>
        <w:pStyle w:val="NumberedSecondLevel"/>
      </w:pPr>
      <w:r>
        <w:t>matching the ABN and bank details on the invoice to supplier details</w:t>
      </w:r>
      <w:r w:rsidR="00497EC0">
        <w:t xml:space="preserve"> in the finance system;</w:t>
      </w:r>
    </w:p>
    <w:p w14:paraId="176A9C7C" w14:textId="2C69A6DE" w:rsidR="0096114B" w:rsidRDefault="0096114B" w:rsidP="0096114B">
      <w:pPr>
        <w:pStyle w:val="NumberedSecondLevel"/>
      </w:pPr>
      <w:r>
        <w:t>overseeing the accuracy of all payment vouchers</w:t>
      </w:r>
      <w:r w:rsidR="00870431">
        <w:t xml:space="preserve"> entered in </w:t>
      </w:r>
      <w:r w:rsidR="005E2422">
        <w:t>the finance system</w:t>
      </w:r>
      <w:r w:rsidR="00F8075F">
        <w:t xml:space="preserve"> for suppliers and payees</w:t>
      </w:r>
      <w:r>
        <w:t>;</w:t>
      </w:r>
      <w:r w:rsidR="00D775EE">
        <w:t xml:space="preserve"> and</w:t>
      </w:r>
    </w:p>
    <w:p w14:paraId="2228CDC3" w14:textId="489A1BAB" w:rsidR="00982DC8" w:rsidRDefault="00D775EE" w:rsidP="0096114B">
      <w:pPr>
        <w:pStyle w:val="NumberedSecondLevel"/>
      </w:pPr>
      <w:r>
        <w:t>reviewing and endorsing</w:t>
      </w:r>
      <w:r w:rsidR="00982DC8">
        <w:t xml:space="preserve"> the </w:t>
      </w:r>
      <w:r w:rsidR="008A6919">
        <w:t xml:space="preserve">proposed </w:t>
      </w:r>
      <w:r w:rsidR="00982DC8">
        <w:t>payment run.</w:t>
      </w:r>
    </w:p>
    <w:p w14:paraId="0257C3E3" w14:textId="469009C0" w:rsidR="00870431" w:rsidRPr="00D511FB" w:rsidRDefault="00333122" w:rsidP="0086595F">
      <w:pPr>
        <w:pStyle w:val="NumberedFirstLevel"/>
      </w:pPr>
      <w:r w:rsidRPr="0089239E">
        <w:rPr>
          <w:b/>
          <w:bCs/>
        </w:rPr>
        <w:t>Treasury Analyst</w:t>
      </w:r>
      <w:r w:rsidR="00747F15" w:rsidRPr="0089239E">
        <w:rPr>
          <w:b/>
          <w:bCs/>
        </w:rPr>
        <w:t>, Financial Control and Treasury</w:t>
      </w:r>
      <w:r w:rsidR="00870431">
        <w:t xml:space="preserve"> is responsible for</w:t>
      </w:r>
      <w:r w:rsidR="005607AB">
        <w:t xml:space="preserve"> </w:t>
      </w:r>
      <w:r w:rsidR="00870431">
        <w:t>generating payments to suppliers</w:t>
      </w:r>
      <w:r w:rsidR="001A7A99">
        <w:t xml:space="preserve"> and payees</w:t>
      </w:r>
      <w:r w:rsidR="00870431">
        <w:t>.</w:t>
      </w:r>
    </w:p>
    <w:p w14:paraId="2BDE5016" w14:textId="04C17728" w:rsidR="002A6A63" w:rsidRDefault="00C71DED" w:rsidP="009E5D08">
      <w:pPr>
        <w:pStyle w:val="Heading4"/>
      </w:pPr>
      <w:bookmarkStart w:id="27" w:name="_Toc115167940"/>
      <w:r>
        <w:lastRenderedPageBreak/>
        <w:t>1</w:t>
      </w:r>
      <w:r w:rsidR="007123AF">
        <w:t>9</w:t>
      </w:r>
      <w:r w:rsidR="002A6A63">
        <w:tab/>
        <w:t>Re</w:t>
      </w:r>
      <w:r w:rsidR="003D61D2">
        <w:t>s</w:t>
      </w:r>
      <w:r w:rsidR="002A6A63">
        <w:t>cis</w:t>
      </w:r>
      <w:r w:rsidR="007772BE">
        <w:t>s</w:t>
      </w:r>
      <w:r w:rsidR="002A6A63">
        <w:t>ions and replacements</w:t>
      </w:r>
      <w:bookmarkEnd w:id="27"/>
    </w:p>
    <w:p w14:paraId="1744C824" w14:textId="30EC80C4" w:rsidR="002A6A63" w:rsidRDefault="002A6A63" w:rsidP="00B92475">
      <w:r>
        <w:t>This document replaces the</w:t>
      </w:r>
      <w:r w:rsidR="00D053CE">
        <w:t xml:space="preserve"> </w:t>
      </w:r>
      <w:r w:rsidR="00A41593">
        <w:t>Supplier and Payment Procedures 2019</w:t>
      </w:r>
      <w:r w:rsidR="00D053CE">
        <w:t xml:space="preserve">, which </w:t>
      </w:r>
      <w:r w:rsidR="00B92475">
        <w:t xml:space="preserve">commenced on 20 December 2019. </w:t>
      </w:r>
    </w:p>
    <w:p w14:paraId="30F9A2F4" w14:textId="77777777" w:rsidR="00E57E69" w:rsidRDefault="00E57E69" w:rsidP="00E57E69">
      <w:pPr>
        <w:pStyle w:val="Heading2"/>
      </w:pPr>
      <w:bookmarkStart w:id="28" w:name="_Toc138496788"/>
      <w:bookmarkStart w:id="29" w:name="_Toc115167941"/>
      <w:r>
        <w:t>Notes</w:t>
      </w:r>
      <w:bookmarkEnd w:id="28"/>
      <w:bookmarkEnd w:id="29"/>
    </w:p>
    <w:p w14:paraId="275CC000" w14:textId="71B34EB6" w:rsidR="006A4766" w:rsidRPr="0086595F" w:rsidRDefault="00134627" w:rsidP="00C53743">
      <w:pPr>
        <w:pStyle w:val="NormalAdministrativeNotes"/>
        <w:rPr>
          <w:b/>
          <w:bCs/>
        </w:rPr>
      </w:pPr>
      <w:r w:rsidRPr="0086595F">
        <w:rPr>
          <w:b/>
          <w:bCs/>
        </w:rPr>
        <w:t>Supplier and</w:t>
      </w:r>
      <w:r w:rsidR="00B9161C" w:rsidRPr="0086595F">
        <w:rPr>
          <w:b/>
          <w:bCs/>
        </w:rPr>
        <w:t xml:space="preserve"> Payment Procedures </w:t>
      </w:r>
      <w:r w:rsidR="00B92475">
        <w:rPr>
          <w:b/>
          <w:bCs/>
        </w:rPr>
        <w:t>202</w:t>
      </w:r>
      <w:r w:rsidR="00067567">
        <w:rPr>
          <w:b/>
          <w:bCs/>
        </w:rPr>
        <w:t>2</w:t>
      </w:r>
    </w:p>
    <w:p w14:paraId="2C3E8AB4" w14:textId="72E471B4" w:rsidR="00E57E69" w:rsidRPr="00C53743" w:rsidRDefault="00E57E69" w:rsidP="00C53743">
      <w:pPr>
        <w:pStyle w:val="NormalAdministrativeNotes"/>
      </w:pPr>
      <w:r w:rsidRPr="00C53743">
        <w:t xml:space="preserve">Date adopted: </w:t>
      </w:r>
      <w:r w:rsidR="00C53743" w:rsidRPr="00C53743">
        <w:tab/>
      </w:r>
      <w:r w:rsidR="00A916FE">
        <w:t>9 December 2022</w:t>
      </w:r>
    </w:p>
    <w:p w14:paraId="416883C5" w14:textId="3D0A1DAB" w:rsidR="005253B1" w:rsidRDefault="00E57E69" w:rsidP="005253B1">
      <w:pPr>
        <w:pStyle w:val="NormalAdministrativeNotes"/>
      </w:pPr>
      <w:r>
        <w:t>Date commenced:</w:t>
      </w:r>
      <w:r w:rsidR="0033190D">
        <w:tab/>
      </w:r>
      <w:r w:rsidR="00A916FE">
        <w:t>12 December 2022</w:t>
      </w:r>
    </w:p>
    <w:p w14:paraId="1B9E9B99" w14:textId="17FCE73C" w:rsidR="00AC424D" w:rsidRDefault="00305CF1" w:rsidP="005253B1">
      <w:pPr>
        <w:pStyle w:val="NormalAdministrativeNotes"/>
      </w:pPr>
      <w:r>
        <w:t>Date amended:</w:t>
      </w:r>
      <w:r>
        <w:tab/>
      </w:r>
      <w:r w:rsidR="00C70292">
        <w:t>19 February 2024 (administrative amendments)</w:t>
      </w:r>
    </w:p>
    <w:p w14:paraId="3A4EB5AA" w14:textId="1A630CC5" w:rsidR="00AF4C90" w:rsidRPr="00017830" w:rsidRDefault="00E57E69">
      <w:pPr>
        <w:pStyle w:val="NormalAdministrativeNotes"/>
      </w:pPr>
      <w:r>
        <w:t>Administrator:</w:t>
      </w:r>
      <w:r w:rsidR="00C53743">
        <w:tab/>
      </w:r>
      <w:r w:rsidR="00B9161C">
        <w:t>Chief Procurement Officer</w:t>
      </w:r>
      <w:r w:rsidR="00AF4C90">
        <w:t xml:space="preserve"> </w:t>
      </w:r>
    </w:p>
    <w:p w14:paraId="02CE5790" w14:textId="086449A8" w:rsidR="00E57E69" w:rsidRDefault="00E57E69" w:rsidP="00C53743">
      <w:pPr>
        <w:pStyle w:val="NormalAdministrativeNotes"/>
      </w:pPr>
      <w:r>
        <w:t xml:space="preserve">Review date: </w:t>
      </w:r>
      <w:r w:rsidR="00C53743">
        <w:tab/>
      </w:r>
      <w:r w:rsidR="00A916FE">
        <w:t>12 December 2027</w:t>
      </w:r>
    </w:p>
    <w:p w14:paraId="6935A570" w14:textId="4A18A74F" w:rsidR="008C0519" w:rsidRDefault="008C0519" w:rsidP="00C53743">
      <w:pPr>
        <w:pStyle w:val="NormalAdministrativeNotes"/>
      </w:pPr>
    </w:p>
    <w:p w14:paraId="2ED75193" w14:textId="77777777" w:rsidR="008C0519" w:rsidRDefault="008C0519" w:rsidP="00C53743">
      <w:pPr>
        <w:pStyle w:val="NormalAdministrativeNotes"/>
      </w:pPr>
    </w:p>
    <w:p w14:paraId="12034418" w14:textId="18A9E2D3" w:rsidR="00747F15" w:rsidRDefault="00E57E69" w:rsidP="00B9161C">
      <w:pPr>
        <w:pStyle w:val="NormalAdministrativeNotes"/>
      </w:pPr>
      <w:r>
        <w:t xml:space="preserve">Related documents: </w:t>
      </w:r>
      <w:r w:rsidR="00C53743">
        <w:tab/>
      </w:r>
      <w:r w:rsidR="00747F15">
        <w:t xml:space="preserve">University of Sydney (Delegations of Authority) Rule </w:t>
      </w:r>
      <w:r w:rsidR="00EF2E2E">
        <w:t>2020</w:t>
      </w:r>
    </w:p>
    <w:p w14:paraId="6FC65E9A" w14:textId="22581986" w:rsidR="00E57E69" w:rsidRDefault="00747F15" w:rsidP="00B9161C">
      <w:pPr>
        <w:pStyle w:val="NormalAdministrativeNotes"/>
      </w:pPr>
      <w:r>
        <w:tab/>
        <w:t>Cyber Security Policy 2019</w:t>
      </w:r>
    </w:p>
    <w:p w14:paraId="5DEBFF54" w14:textId="5F997318" w:rsidR="00747F15" w:rsidRDefault="00747F15" w:rsidP="00B9161C">
      <w:pPr>
        <w:pStyle w:val="NormalAdministrativeNotes"/>
      </w:pPr>
      <w:r>
        <w:tab/>
        <w:t>Procurement Policy 2019</w:t>
      </w:r>
    </w:p>
    <w:p w14:paraId="339FDFC7" w14:textId="3944CB10" w:rsidR="001402D2" w:rsidRDefault="00747F15" w:rsidP="00B9161C">
      <w:pPr>
        <w:pStyle w:val="NormalAdministrativeNotes"/>
      </w:pPr>
      <w:r>
        <w:tab/>
      </w:r>
      <w:r w:rsidR="001402D2">
        <w:t>Recordkeeping Policy 2017</w:t>
      </w:r>
    </w:p>
    <w:p w14:paraId="1CE13B35" w14:textId="17589702" w:rsidR="00747F15" w:rsidRDefault="001402D2" w:rsidP="00B9161C">
      <w:pPr>
        <w:pStyle w:val="NormalAdministrativeNotes"/>
      </w:pPr>
      <w:r>
        <w:tab/>
      </w:r>
      <w:r w:rsidR="00747F15">
        <w:t>Travel Policy 2018</w:t>
      </w:r>
    </w:p>
    <w:p w14:paraId="3D951DC9" w14:textId="35C3FD06" w:rsidR="0072178C" w:rsidRDefault="0072178C" w:rsidP="00B9161C">
      <w:pPr>
        <w:pStyle w:val="NormalAdministrativeNotes"/>
      </w:pPr>
      <w:r>
        <w:tab/>
        <w:t xml:space="preserve">UniBuy Procurement Procedures </w:t>
      </w:r>
      <w:r w:rsidR="000C4D4E">
        <w:t>2019</w:t>
      </w:r>
      <w:r w:rsidR="00747F15">
        <w:tab/>
      </w:r>
    </w:p>
    <w:p w14:paraId="41EDE84E" w14:textId="26610DE4" w:rsidR="00747F15" w:rsidRDefault="0072178C" w:rsidP="00B9161C">
      <w:pPr>
        <w:pStyle w:val="NormalAdministrativeNotes"/>
      </w:pPr>
      <w:r>
        <w:tab/>
      </w:r>
      <w:r w:rsidR="00747F15">
        <w:t>Corporate Card Procedures 2019</w:t>
      </w:r>
    </w:p>
    <w:p w14:paraId="1BF97092" w14:textId="5EF5D818" w:rsidR="00747F15" w:rsidRDefault="00747F15" w:rsidP="00B9161C">
      <w:pPr>
        <w:pStyle w:val="NormalAdministrativeNotes"/>
      </w:pPr>
      <w:r>
        <w:tab/>
        <w:t>Cyber Security Procedures 2019</w:t>
      </w:r>
    </w:p>
    <w:p w14:paraId="1279E19F" w14:textId="3EE52C3B" w:rsidR="00747F15" w:rsidRDefault="00747F15" w:rsidP="00B9161C">
      <w:pPr>
        <w:pStyle w:val="NormalAdministrativeNotes"/>
      </w:pPr>
      <w:r>
        <w:tab/>
        <w:t>Travel Procedures 2018</w:t>
      </w:r>
    </w:p>
    <w:p w14:paraId="4BFEB0B3" w14:textId="6DC4EE57" w:rsidR="00B9161C" w:rsidRDefault="001402D2" w:rsidP="00B9161C">
      <w:pPr>
        <w:pStyle w:val="NormalAdministrativeNotes"/>
      </w:pPr>
      <w:r>
        <w:tab/>
        <w:t>Recordkeeping Manual</w:t>
      </w:r>
    </w:p>
    <w:p w14:paraId="25DA6BF8" w14:textId="77777777" w:rsidR="0007678A" w:rsidRDefault="0007678A" w:rsidP="00C53743">
      <w:pPr>
        <w:pStyle w:val="Heading2"/>
      </w:pPr>
      <w:bookmarkStart w:id="30" w:name="_Toc138496789"/>
    </w:p>
    <w:p w14:paraId="28283C3F" w14:textId="609DEEAE" w:rsidR="00E57E69" w:rsidRDefault="00E57E69" w:rsidP="00C53743">
      <w:pPr>
        <w:pStyle w:val="Heading2"/>
      </w:pPr>
      <w:bookmarkStart w:id="31" w:name="_Toc115167942"/>
      <w:r>
        <w:t>Amendment history</w:t>
      </w:r>
      <w:bookmarkEnd w:id="30"/>
      <w:bookmarkEnd w:id="31"/>
    </w:p>
    <w:tbl>
      <w:tblPr>
        <w:tblW w:w="0" w:type="auto"/>
        <w:tblLook w:val="00A0" w:firstRow="1" w:lastRow="0" w:firstColumn="1" w:lastColumn="0" w:noHBand="0" w:noVBand="0"/>
      </w:tblPr>
      <w:tblGrid>
        <w:gridCol w:w="1516"/>
        <w:gridCol w:w="4653"/>
        <w:gridCol w:w="1767"/>
      </w:tblGrid>
      <w:tr w:rsidR="00E57E69" w:rsidRPr="00C53743" w14:paraId="32F1DAEF" w14:textId="77777777" w:rsidTr="00244886">
        <w:tc>
          <w:tcPr>
            <w:tcW w:w="1516" w:type="dxa"/>
          </w:tcPr>
          <w:p w14:paraId="4068B785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Provision</w:t>
            </w:r>
          </w:p>
        </w:tc>
        <w:tc>
          <w:tcPr>
            <w:tcW w:w="4653" w:type="dxa"/>
          </w:tcPr>
          <w:p w14:paraId="0C553DEA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Amendment</w:t>
            </w:r>
          </w:p>
        </w:tc>
        <w:tc>
          <w:tcPr>
            <w:tcW w:w="1767" w:type="dxa"/>
          </w:tcPr>
          <w:p w14:paraId="3D34F042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Commencing</w:t>
            </w:r>
          </w:p>
        </w:tc>
      </w:tr>
      <w:tr w:rsidR="006A68A8" w14:paraId="4ADD9582" w14:textId="77777777" w:rsidTr="00244886">
        <w:tc>
          <w:tcPr>
            <w:tcW w:w="1516" w:type="dxa"/>
          </w:tcPr>
          <w:p w14:paraId="149AD54A" w14:textId="76284A69" w:rsidR="006A68A8" w:rsidRDefault="0096647C" w:rsidP="00517FA8">
            <w:r>
              <w:t>12(4</w:t>
            </w:r>
            <w:r w:rsidR="00382192">
              <w:t>)</w:t>
            </w:r>
          </w:p>
        </w:tc>
        <w:tc>
          <w:tcPr>
            <w:tcW w:w="4653" w:type="dxa"/>
          </w:tcPr>
          <w:p w14:paraId="12F53C38" w14:textId="5C3FBA78" w:rsidR="006A68A8" w:rsidRDefault="004158AD" w:rsidP="00517FA8">
            <w:r>
              <w:t>New subclause added</w:t>
            </w:r>
          </w:p>
        </w:tc>
        <w:tc>
          <w:tcPr>
            <w:tcW w:w="1767" w:type="dxa"/>
          </w:tcPr>
          <w:p w14:paraId="6513FCFE" w14:textId="13E166FC" w:rsidR="006A68A8" w:rsidRDefault="004158AD" w:rsidP="00517FA8">
            <w:r>
              <w:t>19 February 2024</w:t>
            </w:r>
          </w:p>
        </w:tc>
      </w:tr>
      <w:tr w:rsidR="00276724" w14:paraId="145C5A2C" w14:textId="77777777" w:rsidTr="00244886">
        <w:tc>
          <w:tcPr>
            <w:tcW w:w="1516" w:type="dxa"/>
          </w:tcPr>
          <w:p w14:paraId="650CAC3E" w14:textId="1E15620A" w:rsidR="00276724" w:rsidRDefault="00276724" w:rsidP="00517FA8"/>
        </w:tc>
        <w:tc>
          <w:tcPr>
            <w:tcW w:w="4653" w:type="dxa"/>
          </w:tcPr>
          <w:p w14:paraId="3238B56B" w14:textId="19138D03" w:rsidR="00276724" w:rsidRDefault="00276724" w:rsidP="00517FA8"/>
        </w:tc>
        <w:tc>
          <w:tcPr>
            <w:tcW w:w="1767" w:type="dxa"/>
          </w:tcPr>
          <w:p w14:paraId="44949D1E" w14:textId="435FC060" w:rsidR="00276724" w:rsidRDefault="00276724" w:rsidP="00517FA8"/>
        </w:tc>
      </w:tr>
      <w:tr w:rsidR="00E57E69" w14:paraId="42D28C57" w14:textId="77777777" w:rsidTr="00244886">
        <w:tc>
          <w:tcPr>
            <w:tcW w:w="1516" w:type="dxa"/>
          </w:tcPr>
          <w:p w14:paraId="0368DD31" w14:textId="156D491E" w:rsidR="00E57E69" w:rsidRPr="005F1996" w:rsidRDefault="00E57E69" w:rsidP="00517FA8"/>
        </w:tc>
        <w:tc>
          <w:tcPr>
            <w:tcW w:w="4653" w:type="dxa"/>
          </w:tcPr>
          <w:p w14:paraId="68FA5686" w14:textId="355EEB15" w:rsidR="00E57E69" w:rsidRPr="005F1996" w:rsidRDefault="00E57E69" w:rsidP="00517FA8"/>
        </w:tc>
        <w:tc>
          <w:tcPr>
            <w:tcW w:w="1767" w:type="dxa"/>
          </w:tcPr>
          <w:p w14:paraId="66D63595" w14:textId="4B63F140" w:rsidR="00E57E69" w:rsidRPr="005F1996" w:rsidRDefault="00E57E69" w:rsidP="00517FA8"/>
        </w:tc>
      </w:tr>
    </w:tbl>
    <w:p w14:paraId="04D143ED" w14:textId="77777777" w:rsidR="004A7E8A" w:rsidRDefault="004A7E8A" w:rsidP="005253B1"/>
    <w:sectPr w:rsidR="004A7E8A" w:rsidSect="004F5A8A">
      <w:headerReference w:type="default" r:id="rId30"/>
      <w:footerReference w:type="default" r:id="rId31"/>
      <w:headerReference w:type="first" r:id="rId32"/>
      <w:pgSz w:w="11906" w:h="16838" w:code="9"/>
      <w:pgMar w:top="2211" w:right="1985" w:bottom="144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68DC" w14:textId="77777777" w:rsidR="00D765F9" w:rsidRDefault="00D765F9" w:rsidP="00013550">
      <w:r>
        <w:separator/>
      </w:r>
    </w:p>
  </w:endnote>
  <w:endnote w:type="continuationSeparator" w:id="0">
    <w:p w14:paraId="7E9F2B76" w14:textId="77777777" w:rsidR="00D765F9" w:rsidRDefault="00D765F9" w:rsidP="00013550">
      <w:r>
        <w:continuationSeparator/>
      </w:r>
    </w:p>
  </w:endnote>
  <w:endnote w:type="continuationNotice" w:id="1">
    <w:p w14:paraId="07DB03C9" w14:textId="77777777" w:rsidR="00D765F9" w:rsidRDefault="00D765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13A" w14:textId="77777777" w:rsidR="00FD2641" w:rsidRDefault="00FD2641" w:rsidP="00A952D2">
    <w:pPr>
      <w:pStyle w:val="Footer"/>
    </w:pPr>
  </w:p>
  <w:p w14:paraId="790F83CB" w14:textId="2596F530" w:rsidR="00D8748E" w:rsidRPr="00295ED6" w:rsidRDefault="00D8748E" w:rsidP="00A952D2">
    <w:pPr>
      <w:pStyle w:val="Footer"/>
      <w:rPr>
        <w:noProof/>
        <w:szCs w:val="16"/>
        <w:lang w:val="en-US"/>
      </w:rPr>
    </w:pPr>
    <w:r>
      <w:t xml:space="preserve">Supplier and Payment Procedures </w:t>
    </w:r>
    <w:r w:rsidR="00432FDA">
      <w:t>2022</w:t>
    </w:r>
    <w:r w:rsidRPr="00157AAA">
      <w:tab/>
    </w:r>
    <w:r w:rsidRPr="00157AAA">
      <w:tab/>
    </w:r>
    <w:r w:rsidRPr="00157AAA">
      <w:rPr>
        <w:szCs w:val="16"/>
        <w:lang w:val="en-US"/>
      </w:rPr>
      <w:t xml:space="preserve">Page </w:t>
    </w:r>
    <w:r w:rsidRPr="00157AAA">
      <w:rPr>
        <w:szCs w:val="16"/>
        <w:lang w:val="en-US"/>
      </w:rPr>
      <w:fldChar w:fldCharType="begin"/>
    </w:r>
    <w:r w:rsidRPr="00157AAA">
      <w:rPr>
        <w:szCs w:val="16"/>
        <w:lang w:val="en-US"/>
      </w:rPr>
      <w:instrText xml:space="preserve"> PAGE </w:instrText>
    </w:r>
    <w:r w:rsidRPr="00157AAA">
      <w:rPr>
        <w:szCs w:val="16"/>
        <w:lang w:val="en-US"/>
      </w:rPr>
      <w:fldChar w:fldCharType="separate"/>
    </w:r>
    <w:r>
      <w:rPr>
        <w:noProof/>
        <w:szCs w:val="16"/>
        <w:lang w:val="en-US"/>
      </w:rPr>
      <w:t>2</w:t>
    </w:r>
    <w:r w:rsidRPr="00157AAA">
      <w:rPr>
        <w:szCs w:val="16"/>
        <w:lang w:val="en-US"/>
      </w:rPr>
      <w:fldChar w:fldCharType="end"/>
    </w:r>
    <w:r w:rsidRPr="00157AAA">
      <w:rPr>
        <w:szCs w:val="16"/>
        <w:lang w:val="en-US"/>
      </w:rPr>
      <w:t xml:space="preserve"> of </w:t>
    </w:r>
    <w:fldSimple w:instr=" NUMPAGES   \* MERGEFORMAT ">
      <w:r w:rsidRPr="00810120">
        <w:rPr>
          <w:noProof/>
          <w:szCs w:val="16"/>
          <w:lang w:val="en-US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B703" w14:textId="77777777" w:rsidR="00D765F9" w:rsidRDefault="00D765F9" w:rsidP="00013550">
      <w:r>
        <w:separator/>
      </w:r>
    </w:p>
  </w:footnote>
  <w:footnote w:type="continuationSeparator" w:id="0">
    <w:p w14:paraId="084A2EC4" w14:textId="77777777" w:rsidR="00D765F9" w:rsidRDefault="00D765F9" w:rsidP="00013550">
      <w:r>
        <w:continuationSeparator/>
      </w:r>
    </w:p>
  </w:footnote>
  <w:footnote w:type="continuationNotice" w:id="1">
    <w:p w14:paraId="522F9749" w14:textId="77777777" w:rsidR="00D765F9" w:rsidRDefault="00D765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03EA" w14:textId="77777777" w:rsidR="00D8748E" w:rsidRDefault="00D8748E" w:rsidP="00013550">
    <w:r>
      <w:rPr>
        <w:noProof/>
        <w:lang w:eastAsia="en-AU"/>
      </w:rPr>
      <w:drawing>
        <wp:inline distT="0" distB="0" distL="0" distR="0" wp14:anchorId="4C964344" wp14:editId="3B9F6CDB">
          <wp:extent cx="1753235" cy="563880"/>
          <wp:effectExtent l="0" t="0" r="0" b="0"/>
          <wp:docPr id="3" name="Picture 3" descr="USY_MB1_RGB_1_Colour_Standa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Y_MB1_RGB_1_Colour_Standar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3" b="12656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C93A" w14:textId="77777777" w:rsidR="00D8748E" w:rsidRPr="00BE0B4B" w:rsidRDefault="00D8748E" w:rsidP="00013550">
    <w:pPr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E1FEFA3" wp14:editId="5A393780">
          <wp:simplePos x="0" y="0"/>
          <wp:positionH relativeFrom="page">
            <wp:posOffset>1196975</wp:posOffset>
          </wp:positionH>
          <wp:positionV relativeFrom="page">
            <wp:posOffset>482600</wp:posOffset>
          </wp:positionV>
          <wp:extent cx="1568450" cy="546100"/>
          <wp:effectExtent l="0" t="0" r="0" b="6350"/>
          <wp:wrapNone/>
          <wp:docPr id="4" name="Picture 4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19E12" w14:textId="77777777" w:rsidR="00D8748E" w:rsidRDefault="00D8748E" w:rsidP="00013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76D"/>
    <w:multiLevelType w:val="multilevel"/>
    <w:tmpl w:val="7CB22808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FirstLeve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umberedSecondLeve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umbered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" w15:restartNumberingAfterBreak="0">
    <w:nsid w:val="611B10D2"/>
    <w:multiLevelType w:val="multilevel"/>
    <w:tmpl w:val="D3CE4140"/>
    <w:lvl w:ilvl="0">
      <w:start w:val="1"/>
      <w:numFmt w:val="bullet"/>
      <w:pStyle w:val="Normal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" w15:restartNumberingAfterBreak="0">
    <w:nsid w:val="729F0CCC"/>
    <w:multiLevelType w:val="hybridMultilevel"/>
    <w:tmpl w:val="0B3A1824"/>
    <w:lvl w:ilvl="0" w:tplc="8864ECE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788335">
    <w:abstractNumId w:val="0"/>
  </w:num>
  <w:num w:numId="2" w16cid:durableId="667246002">
    <w:abstractNumId w:val="1"/>
  </w:num>
  <w:num w:numId="3" w16cid:durableId="368379269">
    <w:abstractNumId w:val="0"/>
  </w:num>
  <w:num w:numId="4" w16cid:durableId="851142100">
    <w:abstractNumId w:val="0"/>
  </w:num>
  <w:num w:numId="5" w16cid:durableId="1975062300">
    <w:abstractNumId w:val="0"/>
  </w:num>
  <w:num w:numId="6" w16cid:durableId="2074154913">
    <w:abstractNumId w:val="1"/>
  </w:num>
  <w:num w:numId="7" w16cid:durableId="711927584">
    <w:abstractNumId w:val="0"/>
  </w:num>
  <w:num w:numId="8" w16cid:durableId="1787582939">
    <w:abstractNumId w:val="0"/>
  </w:num>
  <w:num w:numId="9" w16cid:durableId="1694531441">
    <w:abstractNumId w:val="0"/>
  </w:num>
  <w:num w:numId="10" w16cid:durableId="1389107962">
    <w:abstractNumId w:val="1"/>
  </w:num>
  <w:num w:numId="11" w16cid:durableId="1651786402">
    <w:abstractNumId w:val="0"/>
  </w:num>
  <w:num w:numId="12" w16cid:durableId="1672443011">
    <w:abstractNumId w:val="0"/>
  </w:num>
  <w:num w:numId="13" w16cid:durableId="1054085022">
    <w:abstractNumId w:val="2"/>
  </w:num>
  <w:num w:numId="14" w16cid:durableId="354766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401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4244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5782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6478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4026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9943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0576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4566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0628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4350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9425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615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4872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03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083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6084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3883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0195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8050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8379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5912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5080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4605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3088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5965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66558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003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9195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1905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8169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20108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73186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7246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109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74400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02"/>
    <w:rsid w:val="000001A4"/>
    <w:rsid w:val="00000FA2"/>
    <w:rsid w:val="000015EA"/>
    <w:rsid w:val="00003313"/>
    <w:rsid w:val="000041D5"/>
    <w:rsid w:val="000072E0"/>
    <w:rsid w:val="00010CB0"/>
    <w:rsid w:val="00011C80"/>
    <w:rsid w:val="00013550"/>
    <w:rsid w:val="00014550"/>
    <w:rsid w:val="00021778"/>
    <w:rsid w:val="00027350"/>
    <w:rsid w:val="000274BC"/>
    <w:rsid w:val="00027DCC"/>
    <w:rsid w:val="00030344"/>
    <w:rsid w:val="00031EDB"/>
    <w:rsid w:val="00032449"/>
    <w:rsid w:val="00033C89"/>
    <w:rsid w:val="00035FB0"/>
    <w:rsid w:val="000409C9"/>
    <w:rsid w:val="00040A7A"/>
    <w:rsid w:val="00040C22"/>
    <w:rsid w:val="0004283C"/>
    <w:rsid w:val="00044EB0"/>
    <w:rsid w:val="00050287"/>
    <w:rsid w:val="0005427C"/>
    <w:rsid w:val="00060DBA"/>
    <w:rsid w:val="000669F8"/>
    <w:rsid w:val="00067567"/>
    <w:rsid w:val="00067609"/>
    <w:rsid w:val="00070D85"/>
    <w:rsid w:val="000739CA"/>
    <w:rsid w:val="00075403"/>
    <w:rsid w:val="0007678A"/>
    <w:rsid w:val="00076858"/>
    <w:rsid w:val="0008214E"/>
    <w:rsid w:val="00091191"/>
    <w:rsid w:val="000970ED"/>
    <w:rsid w:val="000A0B4D"/>
    <w:rsid w:val="000A0D47"/>
    <w:rsid w:val="000A68C2"/>
    <w:rsid w:val="000A697A"/>
    <w:rsid w:val="000A790D"/>
    <w:rsid w:val="000B0FF2"/>
    <w:rsid w:val="000B42AB"/>
    <w:rsid w:val="000B7C47"/>
    <w:rsid w:val="000C3130"/>
    <w:rsid w:val="000C4D4E"/>
    <w:rsid w:val="000D04D5"/>
    <w:rsid w:val="000D0D7D"/>
    <w:rsid w:val="000D2B62"/>
    <w:rsid w:val="000E2911"/>
    <w:rsid w:val="000E3304"/>
    <w:rsid w:val="000F1DF4"/>
    <w:rsid w:val="000F301E"/>
    <w:rsid w:val="000F594D"/>
    <w:rsid w:val="000F7697"/>
    <w:rsid w:val="001023AD"/>
    <w:rsid w:val="00102F4B"/>
    <w:rsid w:val="00104DBB"/>
    <w:rsid w:val="00107D9C"/>
    <w:rsid w:val="00111512"/>
    <w:rsid w:val="001119BA"/>
    <w:rsid w:val="00120D13"/>
    <w:rsid w:val="00121825"/>
    <w:rsid w:val="00121BE0"/>
    <w:rsid w:val="001250F7"/>
    <w:rsid w:val="00133DF4"/>
    <w:rsid w:val="00134627"/>
    <w:rsid w:val="001402D2"/>
    <w:rsid w:val="00140333"/>
    <w:rsid w:val="00140B1C"/>
    <w:rsid w:val="00144C83"/>
    <w:rsid w:val="00144EA0"/>
    <w:rsid w:val="00145195"/>
    <w:rsid w:val="00146AA1"/>
    <w:rsid w:val="0014733E"/>
    <w:rsid w:val="00147D1C"/>
    <w:rsid w:val="00150F05"/>
    <w:rsid w:val="00155112"/>
    <w:rsid w:val="00160A45"/>
    <w:rsid w:val="0017047E"/>
    <w:rsid w:val="00171021"/>
    <w:rsid w:val="001728B1"/>
    <w:rsid w:val="001749E6"/>
    <w:rsid w:val="00174E3D"/>
    <w:rsid w:val="00176CD7"/>
    <w:rsid w:val="00176E2B"/>
    <w:rsid w:val="00177CE2"/>
    <w:rsid w:val="00182D79"/>
    <w:rsid w:val="001904D1"/>
    <w:rsid w:val="0019271C"/>
    <w:rsid w:val="00196721"/>
    <w:rsid w:val="001968D4"/>
    <w:rsid w:val="001A2BC8"/>
    <w:rsid w:val="001A51D3"/>
    <w:rsid w:val="001A7370"/>
    <w:rsid w:val="001A7A99"/>
    <w:rsid w:val="001B0B23"/>
    <w:rsid w:val="001B57B1"/>
    <w:rsid w:val="001B66A1"/>
    <w:rsid w:val="001C3709"/>
    <w:rsid w:val="001C75BF"/>
    <w:rsid w:val="001C7A4F"/>
    <w:rsid w:val="001D1175"/>
    <w:rsid w:val="001D2423"/>
    <w:rsid w:val="001D2947"/>
    <w:rsid w:val="001D2F4E"/>
    <w:rsid w:val="001D33C7"/>
    <w:rsid w:val="001D45D1"/>
    <w:rsid w:val="001D5AFB"/>
    <w:rsid w:val="001D6BE3"/>
    <w:rsid w:val="001E20A6"/>
    <w:rsid w:val="001E3C14"/>
    <w:rsid w:val="001E4CAE"/>
    <w:rsid w:val="001E546B"/>
    <w:rsid w:val="001E6B0A"/>
    <w:rsid w:val="001F1757"/>
    <w:rsid w:val="001F35F5"/>
    <w:rsid w:val="001F42D1"/>
    <w:rsid w:val="001F4DAC"/>
    <w:rsid w:val="001F753E"/>
    <w:rsid w:val="00202A27"/>
    <w:rsid w:val="00202B95"/>
    <w:rsid w:val="00203EA7"/>
    <w:rsid w:val="0020606D"/>
    <w:rsid w:val="00207467"/>
    <w:rsid w:val="0021534E"/>
    <w:rsid w:val="0021644C"/>
    <w:rsid w:val="00217355"/>
    <w:rsid w:val="00223217"/>
    <w:rsid w:val="0022490D"/>
    <w:rsid w:val="00226426"/>
    <w:rsid w:val="00226F01"/>
    <w:rsid w:val="002302C4"/>
    <w:rsid w:val="002312D0"/>
    <w:rsid w:val="002333BA"/>
    <w:rsid w:val="00233C22"/>
    <w:rsid w:val="0023410F"/>
    <w:rsid w:val="0023783B"/>
    <w:rsid w:val="0024418F"/>
    <w:rsid w:val="00244886"/>
    <w:rsid w:val="00254396"/>
    <w:rsid w:val="00254835"/>
    <w:rsid w:val="00255CDE"/>
    <w:rsid w:val="002601F5"/>
    <w:rsid w:val="00261653"/>
    <w:rsid w:val="00265EF6"/>
    <w:rsid w:val="00267F11"/>
    <w:rsid w:val="00271B96"/>
    <w:rsid w:val="00274726"/>
    <w:rsid w:val="00276724"/>
    <w:rsid w:val="00276C31"/>
    <w:rsid w:val="00281EE6"/>
    <w:rsid w:val="00282944"/>
    <w:rsid w:val="00282A6A"/>
    <w:rsid w:val="0028568F"/>
    <w:rsid w:val="00286448"/>
    <w:rsid w:val="002877C6"/>
    <w:rsid w:val="00287E6F"/>
    <w:rsid w:val="002913C7"/>
    <w:rsid w:val="002915AF"/>
    <w:rsid w:val="00295ED6"/>
    <w:rsid w:val="00297B3D"/>
    <w:rsid w:val="002A04D3"/>
    <w:rsid w:val="002A0A7F"/>
    <w:rsid w:val="002A54D1"/>
    <w:rsid w:val="002A6A63"/>
    <w:rsid w:val="002B42FC"/>
    <w:rsid w:val="002B43A0"/>
    <w:rsid w:val="002B5CC4"/>
    <w:rsid w:val="002C2474"/>
    <w:rsid w:val="002C6A9F"/>
    <w:rsid w:val="002D3701"/>
    <w:rsid w:val="002D430F"/>
    <w:rsid w:val="002D49EA"/>
    <w:rsid w:val="002D4A8B"/>
    <w:rsid w:val="002D5030"/>
    <w:rsid w:val="002D7C44"/>
    <w:rsid w:val="002E1349"/>
    <w:rsid w:val="002F0618"/>
    <w:rsid w:val="002F5869"/>
    <w:rsid w:val="00301EEC"/>
    <w:rsid w:val="003031A1"/>
    <w:rsid w:val="00305C84"/>
    <w:rsid w:val="00305CF1"/>
    <w:rsid w:val="00310BFA"/>
    <w:rsid w:val="00312641"/>
    <w:rsid w:val="00312D95"/>
    <w:rsid w:val="0031402E"/>
    <w:rsid w:val="003146E3"/>
    <w:rsid w:val="00314DE6"/>
    <w:rsid w:val="00315072"/>
    <w:rsid w:val="00316409"/>
    <w:rsid w:val="00317F25"/>
    <w:rsid w:val="003203C7"/>
    <w:rsid w:val="003240E0"/>
    <w:rsid w:val="003251D5"/>
    <w:rsid w:val="00327C94"/>
    <w:rsid w:val="00327E21"/>
    <w:rsid w:val="0033083D"/>
    <w:rsid w:val="0033190D"/>
    <w:rsid w:val="00333122"/>
    <w:rsid w:val="00333211"/>
    <w:rsid w:val="003335F8"/>
    <w:rsid w:val="00335EE0"/>
    <w:rsid w:val="00337FC9"/>
    <w:rsid w:val="0034075B"/>
    <w:rsid w:val="00344D18"/>
    <w:rsid w:val="00346D22"/>
    <w:rsid w:val="003470F4"/>
    <w:rsid w:val="00347CFC"/>
    <w:rsid w:val="0035113E"/>
    <w:rsid w:val="0035294F"/>
    <w:rsid w:val="00354E6F"/>
    <w:rsid w:val="00360D24"/>
    <w:rsid w:val="00366C3A"/>
    <w:rsid w:val="00367070"/>
    <w:rsid w:val="00371E53"/>
    <w:rsid w:val="00380A0B"/>
    <w:rsid w:val="00381C56"/>
    <w:rsid w:val="00382192"/>
    <w:rsid w:val="00382F78"/>
    <w:rsid w:val="00384F5E"/>
    <w:rsid w:val="00390705"/>
    <w:rsid w:val="00391A8B"/>
    <w:rsid w:val="003928B6"/>
    <w:rsid w:val="00393723"/>
    <w:rsid w:val="00396E4F"/>
    <w:rsid w:val="003A00EC"/>
    <w:rsid w:val="003A27CE"/>
    <w:rsid w:val="003A4173"/>
    <w:rsid w:val="003A6958"/>
    <w:rsid w:val="003A7936"/>
    <w:rsid w:val="003B01E1"/>
    <w:rsid w:val="003B2CAB"/>
    <w:rsid w:val="003B31CB"/>
    <w:rsid w:val="003B34C2"/>
    <w:rsid w:val="003B575D"/>
    <w:rsid w:val="003C1FF1"/>
    <w:rsid w:val="003C265D"/>
    <w:rsid w:val="003C4901"/>
    <w:rsid w:val="003C551F"/>
    <w:rsid w:val="003C5856"/>
    <w:rsid w:val="003D61D2"/>
    <w:rsid w:val="003D7B20"/>
    <w:rsid w:val="003E3A43"/>
    <w:rsid w:val="003E51AE"/>
    <w:rsid w:val="003F2625"/>
    <w:rsid w:val="003F3BFC"/>
    <w:rsid w:val="003F4F0C"/>
    <w:rsid w:val="003F59F0"/>
    <w:rsid w:val="00400DDB"/>
    <w:rsid w:val="004044DF"/>
    <w:rsid w:val="004078F8"/>
    <w:rsid w:val="0041254F"/>
    <w:rsid w:val="004158AD"/>
    <w:rsid w:val="00415ACC"/>
    <w:rsid w:val="00417225"/>
    <w:rsid w:val="00426492"/>
    <w:rsid w:val="00427F42"/>
    <w:rsid w:val="0043075E"/>
    <w:rsid w:val="004316FE"/>
    <w:rsid w:val="00432FDA"/>
    <w:rsid w:val="00434254"/>
    <w:rsid w:val="00434F94"/>
    <w:rsid w:val="00435D52"/>
    <w:rsid w:val="004377D6"/>
    <w:rsid w:val="00441389"/>
    <w:rsid w:val="00441AD0"/>
    <w:rsid w:val="0044769D"/>
    <w:rsid w:val="004512C4"/>
    <w:rsid w:val="004516D8"/>
    <w:rsid w:val="004536CB"/>
    <w:rsid w:val="00454CD8"/>
    <w:rsid w:val="00455007"/>
    <w:rsid w:val="00455D35"/>
    <w:rsid w:val="00456ECD"/>
    <w:rsid w:val="004600BC"/>
    <w:rsid w:val="0046076D"/>
    <w:rsid w:val="00463775"/>
    <w:rsid w:val="004642D5"/>
    <w:rsid w:val="00466AD6"/>
    <w:rsid w:val="00470556"/>
    <w:rsid w:val="00473991"/>
    <w:rsid w:val="00475CB3"/>
    <w:rsid w:val="00476B1B"/>
    <w:rsid w:val="00480759"/>
    <w:rsid w:val="0048144C"/>
    <w:rsid w:val="00490A46"/>
    <w:rsid w:val="00491084"/>
    <w:rsid w:val="00492988"/>
    <w:rsid w:val="00494AA4"/>
    <w:rsid w:val="004963EB"/>
    <w:rsid w:val="00497EC0"/>
    <w:rsid w:val="004A5140"/>
    <w:rsid w:val="004A696F"/>
    <w:rsid w:val="004A6D3F"/>
    <w:rsid w:val="004A70B3"/>
    <w:rsid w:val="004A73B9"/>
    <w:rsid w:val="004A7B55"/>
    <w:rsid w:val="004A7E8A"/>
    <w:rsid w:val="004B1E84"/>
    <w:rsid w:val="004B3223"/>
    <w:rsid w:val="004B5CB8"/>
    <w:rsid w:val="004B68CF"/>
    <w:rsid w:val="004B769B"/>
    <w:rsid w:val="004C2001"/>
    <w:rsid w:val="004C714E"/>
    <w:rsid w:val="004D2399"/>
    <w:rsid w:val="004D4764"/>
    <w:rsid w:val="004E32D1"/>
    <w:rsid w:val="004E4270"/>
    <w:rsid w:val="004F4ABE"/>
    <w:rsid w:val="004F5A8A"/>
    <w:rsid w:val="004F7EBE"/>
    <w:rsid w:val="00505EF0"/>
    <w:rsid w:val="00512D3F"/>
    <w:rsid w:val="00515138"/>
    <w:rsid w:val="00517FA8"/>
    <w:rsid w:val="00522305"/>
    <w:rsid w:val="00522D5C"/>
    <w:rsid w:val="00523002"/>
    <w:rsid w:val="005253B1"/>
    <w:rsid w:val="005253E0"/>
    <w:rsid w:val="00525F17"/>
    <w:rsid w:val="00530A70"/>
    <w:rsid w:val="005322B7"/>
    <w:rsid w:val="00532467"/>
    <w:rsid w:val="005344D9"/>
    <w:rsid w:val="00534944"/>
    <w:rsid w:val="00537987"/>
    <w:rsid w:val="00537A1F"/>
    <w:rsid w:val="00537B0E"/>
    <w:rsid w:val="005401B9"/>
    <w:rsid w:val="005443C7"/>
    <w:rsid w:val="00544605"/>
    <w:rsid w:val="0054640A"/>
    <w:rsid w:val="00546BF0"/>
    <w:rsid w:val="00547356"/>
    <w:rsid w:val="00547587"/>
    <w:rsid w:val="00552401"/>
    <w:rsid w:val="00556AD8"/>
    <w:rsid w:val="005607AB"/>
    <w:rsid w:val="00561313"/>
    <w:rsid w:val="00563CEE"/>
    <w:rsid w:val="00564FAF"/>
    <w:rsid w:val="005759E5"/>
    <w:rsid w:val="005806A0"/>
    <w:rsid w:val="0058144B"/>
    <w:rsid w:val="00581E58"/>
    <w:rsid w:val="00590FDE"/>
    <w:rsid w:val="00592E56"/>
    <w:rsid w:val="00592F70"/>
    <w:rsid w:val="00593B7D"/>
    <w:rsid w:val="0059470D"/>
    <w:rsid w:val="005951ED"/>
    <w:rsid w:val="005956F4"/>
    <w:rsid w:val="00596240"/>
    <w:rsid w:val="00596EC9"/>
    <w:rsid w:val="00596FE7"/>
    <w:rsid w:val="00597637"/>
    <w:rsid w:val="005A251A"/>
    <w:rsid w:val="005A371A"/>
    <w:rsid w:val="005A43E0"/>
    <w:rsid w:val="005A5749"/>
    <w:rsid w:val="005A7A55"/>
    <w:rsid w:val="005B106E"/>
    <w:rsid w:val="005B3E43"/>
    <w:rsid w:val="005B67A1"/>
    <w:rsid w:val="005B7DFE"/>
    <w:rsid w:val="005C39CB"/>
    <w:rsid w:val="005C68D1"/>
    <w:rsid w:val="005C7996"/>
    <w:rsid w:val="005D1285"/>
    <w:rsid w:val="005D2AD4"/>
    <w:rsid w:val="005D4F16"/>
    <w:rsid w:val="005D5510"/>
    <w:rsid w:val="005E1BDC"/>
    <w:rsid w:val="005E2422"/>
    <w:rsid w:val="005E3F99"/>
    <w:rsid w:val="005E4536"/>
    <w:rsid w:val="005E51C3"/>
    <w:rsid w:val="005F11CA"/>
    <w:rsid w:val="005F3E96"/>
    <w:rsid w:val="005F4B51"/>
    <w:rsid w:val="005F4D01"/>
    <w:rsid w:val="005F705F"/>
    <w:rsid w:val="005F7C42"/>
    <w:rsid w:val="0060307B"/>
    <w:rsid w:val="00604C67"/>
    <w:rsid w:val="00605CA7"/>
    <w:rsid w:val="00605E2B"/>
    <w:rsid w:val="00607D15"/>
    <w:rsid w:val="00610600"/>
    <w:rsid w:val="00610EBC"/>
    <w:rsid w:val="00612597"/>
    <w:rsid w:val="00612AB9"/>
    <w:rsid w:val="00617996"/>
    <w:rsid w:val="006216B7"/>
    <w:rsid w:val="00622AF8"/>
    <w:rsid w:val="006250CE"/>
    <w:rsid w:val="0062567B"/>
    <w:rsid w:val="00626D1A"/>
    <w:rsid w:val="00630490"/>
    <w:rsid w:val="006361E5"/>
    <w:rsid w:val="00636918"/>
    <w:rsid w:val="00636E10"/>
    <w:rsid w:val="006436F1"/>
    <w:rsid w:val="00643743"/>
    <w:rsid w:val="00644116"/>
    <w:rsid w:val="00646279"/>
    <w:rsid w:val="00652466"/>
    <w:rsid w:val="00652E88"/>
    <w:rsid w:val="00654E88"/>
    <w:rsid w:val="00656310"/>
    <w:rsid w:val="006568E2"/>
    <w:rsid w:val="00660631"/>
    <w:rsid w:val="00662120"/>
    <w:rsid w:val="00662642"/>
    <w:rsid w:val="00666EAB"/>
    <w:rsid w:val="0066794B"/>
    <w:rsid w:val="006715ED"/>
    <w:rsid w:val="00671A1E"/>
    <w:rsid w:val="0067296F"/>
    <w:rsid w:val="00672CE9"/>
    <w:rsid w:val="006748CD"/>
    <w:rsid w:val="0068473A"/>
    <w:rsid w:val="006908F6"/>
    <w:rsid w:val="00691279"/>
    <w:rsid w:val="00692111"/>
    <w:rsid w:val="0069215F"/>
    <w:rsid w:val="00694301"/>
    <w:rsid w:val="00697DA7"/>
    <w:rsid w:val="006A4766"/>
    <w:rsid w:val="006A4F8B"/>
    <w:rsid w:val="006A5B76"/>
    <w:rsid w:val="006A68A8"/>
    <w:rsid w:val="006A7050"/>
    <w:rsid w:val="006B2E0B"/>
    <w:rsid w:val="006B43ED"/>
    <w:rsid w:val="006B644F"/>
    <w:rsid w:val="006B70F9"/>
    <w:rsid w:val="006C2B8D"/>
    <w:rsid w:val="006C35E0"/>
    <w:rsid w:val="006C483E"/>
    <w:rsid w:val="006D7669"/>
    <w:rsid w:val="006E06C7"/>
    <w:rsid w:val="006E57CD"/>
    <w:rsid w:val="006E7A34"/>
    <w:rsid w:val="006F1564"/>
    <w:rsid w:val="006F2482"/>
    <w:rsid w:val="006F291E"/>
    <w:rsid w:val="006F6BD0"/>
    <w:rsid w:val="006F6FC1"/>
    <w:rsid w:val="007117A6"/>
    <w:rsid w:val="007123AF"/>
    <w:rsid w:val="00713D4C"/>
    <w:rsid w:val="007171F9"/>
    <w:rsid w:val="007207C1"/>
    <w:rsid w:val="007208BC"/>
    <w:rsid w:val="0072178C"/>
    <w:rsid w:val="0072359D"/>
    <w:rsid w:val="00724BC6"/>
    <w:rsid w:val="00724E3F"/>
    <w:rsid w:val="00726F15"/>
    <w:rsid w:val="00730596"/>
    <w:rsid w:val="007367A3"/>
    <w:rsid w:val="00736FFD"/>
    <w:rsid w:val="0074508D"/>
    <w:rsid w:val="00745714"/>
    <w:rsid w:val="00747BC3"/>
    <w:rsid w:val="00747F15"/>
    <w:rsid w:val="00753D07"/>
    <w:rsid w:val="00756935"/>
    <w:rsid w:val="00764BE7"/>
    <w:rsid w:val="00766BF2"/>
    <w:rsid w:val="00767199"/>
    <w:rsid w:val="00770317"/>
    <w:rsid w:val="0077581D"/>
    <w:rsid w:val="00775E74"/>
    <w:rsid w:val="007772BE"/>
    <w:rsid w:val="007816D6"/>
    <w:rsid w:val="00781BF5"/>
    <w:rsid w:val="00785BEB"/>
    <w:rsid w:val="00791C33"/>
    <w:rsid w:val="00792A1A"/>
    <w:rsid w:val="0079701F"/>
    <w:rsid w:val="007A07B6"/>
    <w:rsid w:val="007A31AC"/>
    <w:rsid w:val="007A3A84"/>
    <w:rsid w:val="007B0C38"/>
    <w:rsid w:val="007B19F3"/>
    <w:rsid w:val="007B1AA3"/>
    <w:rsid w:val="007B24D9"/>
    <w:rsid w:val="007B37F6"/>
    <w:rsid w:val="007C1E73"/>
    <w:rsid w:val="007C222C"/>
    <w:rsid w:val="007C49D1"/>
    <w:rsid w:val="007C58F9"/>
    <w:rsid w:val="007C6597"/>
    <w:rsid w:val="007C733B"/>
    <w:rsid w:val="007D1FFB"/>
    <w:rsid w:val="007D3FB8"/>
    <w:rsid w:val="007D6C1F"/>
    <w:rsid w:val="007D756A"/>
    <w:rsid w:val="007D7C0C"/>
    <w:rsid w:val="007E4715"/>
    <w:rsid w:val="007E5BF3"/>
    <w:rsid w:val="007F239C"/>
    <w:rsid w:val="007F763B"/>
    <w:rsid w:val="00803708"/>
    <w:rsid w:val="008073BB"/>
    <w:rsid w:val="00810120"/>
    <w:rsid w:val="00810E90"/>
    <w:rsid w:val="00812046"/>
    <w:rsid w:val="00812EAC"/>
    <w:rsid w:val="008140D3"/>
    <w:rsid w:val="008152A7"/>
    <w:rsid w:val="00821200"/>
    <w:rsid w:val="00821705"/>
    <w:rsid w:val="00822834"/>
    <w:rsid w:val="00823142"/>
    <w:rsid w:val="00823BBE"/>
    <w:rsid w:val="00833BC2"/>
    <w:rsid w:val="00833DA7"/>
    <w:rsid w:val="0083755A"/>
    <w:rsid w:val="00837B78"/>
    <w:rsid w:val="0084526F"/>
    <w:rsid w:val="008465EC"/>
    <w:rsid w:val="00853BD4"/>
    <w:rsid w:val="00855864"/>
    <w:rsid w:val="00856268"/>
    <w:rsid w:val="0086040E"/>
    <w:rsid w:val="00862379"/>
    <w:rsid w:val="00863503"/>
    <w:rsid w:val="00863CBE"/>
    <w:rsid w:val="0086595F"/>
    <w:rsid w:val="00866E79"/>
    <w:rsid w:val="00870431"/>
    <w:rsid w:val="00870FDD"/>
    <w:rsid w:val="0087171A"/>
    <w:rsid w:val="00871D48"/>
    <w:rsid w:val="008744D1"/>
    <w:rsid w:val="00876068"/>
    <w:rsid w:val="00881157"/>
    <w:rsid w:val="00881F9D"/>
    <w:rsid w:val="0089239E"/>
    <w:rsid w:val="008956B9"/>
    <w:rsid w:val="008A6647"/>
    <w:rsid w:val="008A6919"/>
    <w:rsid w:val="008B2E3B"/>
    <w:rsid w:val="008B5815"/>
    <w:rsid w:val="008B6179"/>
    <w:rsid w:val="008C0519"/>
    <w:rsid w:val="008C0E4C"/>
    <w:rsid w:val="008C1834"/>
    <w:rsid w:val="008C2457"/>
    <w:rsid w:val="008C4EF7"/>
    <w:rsid w:val="008C6AA8"/>
    <w:rsid w:val="008D1062"/>
    <w:rsid w:val="008D171B"/>
    <w:rsid w:val="008D4491"/>
    <w:rsid w:val="008D49EA"/>
    <w:rsid w:val="008D4A05"/>
    <w:rsid w:val="008D509D"/>
    <w:rsid w:val="008D58EE"/>
    <w:rsid w:val="008D6030"/>
    <w:rsid w:val="008D650C"/>
    <w:rsid w:val="008D76BB"/>
    <w:rsid w:val="008E1B86"/>
    <w:rsid w:val="008E32CC"/>
    <w:rsid w:val="008F062D"/>
    <w:rsid w:val="008F1F30"/>
    <w:rsid w:val="008F2838"/>
    <w:rsid w:val="009011CB"/>
    <w:rsid w:val="009060B6"/>
    <w:rsid w:val="0090644F"/>
    <w:rsid w:val="00910D22"/>
    <w:rsid w:val="009137DC"/>
    <w:rsid w:val="009220D7"/>
    <w:rsid w:val="00936758"/>
    <w:rsid w:val="009403E1"/>
    <w:rsid w:val="009403F3"/>
    <w:rsid w:val="009414A0"/>
    <w:rsid w:val="00943656"/>
    <w:rsid w:val="00943A50"/>
    <w:rsid w:val="009469B1"/>
    <w:rsid w:val="009505EF"/>
    <w:rsid w:val="00950A02"/>
    <w:rsid w:val="00952E2D"/>
    <w:rsid w:val="0095716E"/>
    <w:rsid w:val="009603A4"/>
    <w:rsid w:val="0096114B"/>
    <w:rsid w:val="00961854"/>
    <w:rsid w:val="0096647C"/>
    <w:rsid w:val="00966695"/>
    <w:rsid w:val="00967A40"/>
    <w:rsid w:val="00970BDA"/>
    <w:rsid w:val="009728CB"/>
    <w:rsid w:val="00972AB3"/>
    <w:rsid w:val="009730A8"/>
    <w:rsid w:val="00974CA5"/>
    <w:rsid w:val="009763FB"/>
    <w:rsid w:val="00977CC7"/>
    <w:rsid w:val="00980E7B"/>
    <w:rsid w:val="0098190A"/>
    <w:rsid w:val="009829E8"/>
    <w:rsid w:val="00982DC8"/>
    <w:rsid w:val="00984511"/>
    <w:rsid w:val="00985F1B"/>
    <w:rsid w:val="009874E4"/>
    <w:rsid w:val="009956B8"/>
    <w:rsid w:val="009A0ECE"/>
    <w:rsid w:val="009A7ACD"/>
    <w:rsid w:val="009B0920"/>
    <w:rsid w:val="009B09AB"/>
    <w:rsid w:val="009B2225"/>
    <w:rsid w:val="009B275F"/>
    <w:rsid w:val="009B4D1B"/>
    <w:rsid w:val="009B5099"/>
    <w:rsid w:val="009B71E7"/>
    <w:rsid w:val="009C3E97"/>
    <w:rsid w:val="009C4CB5"/>
    <w:rsid w:val="009C582F"/>
    <w:rsid w:val="009C6AA8"/>
    <w:rsid w:val="009D0201"/>
    <w:rsid w:val="009D0680"/>
    <w:rsid w:val="009D3587"/>
    <w:rsid w:val="009D4AD2"/>
    <w:rsid w:val="009D6EE9"/>
    <w:rsid w:val="009D70E9"/>
    <w:rsid w:val="009D7C6E"/>
    <w:rsid w:val="009D7FD4"/>
    <w:rsid w:val="009E5D08"/>
    <w:rsid w:val="009E65D9"/>
    <w:rsid w:val="009F5E0F"/>
    <w:rsid w:val="009F6F79"/>
    <w:rsid w:val="00A0020D"/>
    <w:rsid w:val="00A00E4D"/>
    <w:rsid w:val="00A01E2C"/>
    <w:rsid w:val="00A03AFD"/>
    <w:rsid w:val="00A04028"/>
    <w:rsid w:val="00A04605"/>
    <w:rsid w:val="00A06C82"/>
    <w:rsid w:val="00A115CA"/>
    <w:rsid w:val="00A17A43"/>
    <w:rsid w:val="00A201FB"/>
    <w:rsid w:val="00A20327"/>
    <w:rsid w:val="00A20EF9"/>
    <w:rsid w:val="00A252CA"/>
    <w:rsid w:val="00A27968"/>
    <w:rsid w:val="00A315B0"/>
    <w:rsid w:val="00A3236E"/>
    <w:rsid w:val="00A37513"/>
    <w:rsid w:val="00A41593"/>
    <w:rsid w:val="00A455DE"/>
    <w:rsid w:val="00A46B32"/>
    <w:rsid w:val="00A46D79"/>
    <w:rsid w:val="00A50B96"/>
    <w:rsid w:val="00A531BE"/>
    <w:rsid w:val="00A5338A"/>
    <w:rsid w:val="00A66CE0"/>
    <w:rsid w:val="00A7582F"/>
    <w:rsid w:val="00A8013E"/>
    <w:rsid w:val="00A81991"/>
    <w:rsid w:val="00A855EE"/>
    <w:rsid w:val="00A87198"/>
    <w:rsid w:val="00A916FE"/>
    <w:rsid w:val="00A945AE"/>
    <w:rsid w:val="00A952D2"/>
    <w:rsid w:val="00AA34D1"/>
    <w:rsid w:val="00AA4712"/>
    <w:rsid w:val="00AA493A"/>
    <w:rsid w:val="00AA5098"/>
    <w:rsid w:val="00AB3784"/>
    <w:rsid w:val="00AB6BBA"/>
    <w:rsid w:val="00AB76B6"/>
    <w:rsid w:val="00AC0387"/>
    <w:rsid w:val="00AC1195"/>
    <w:rsid w:val="00AC1CA9"/>
    <w:rsid w:val="00AC41C9"/>
    <w:rsid w:val="00AC424D"/>
    <w:rsid w:val="00AC73C0"/>
    <w:rsid w:val="00AD27DB"/>
    <w:rsid w:val="00AD5973"/>
    <w:rsid w:val="00AD7FE2"/>
    <w:rsid w:val="00AE1FE1"/>
    <w:rsid w:val="00AE324E"/>
    <w:rsid w:val="00AE6B07"/>
    <w:rsid w:val="00AF0501"/>
    <w:rsid w:val="00AF2371"/>
    <w:rsid w:val="00AF2C34"/>
    <w:rsid w:val="00AF2EDA"/>
    <w:rsid w:val="00AF36EB"/>
    <w:rsid w:val="00AF4C90"/>
    <w:rsid w:val="00AF5545"/>
    <w:rsid w:val="00B0637D"/>
    <w:rsid w:val="00B064A3"/>
    <w:rsid w:val="00B072ED"/>
    <w:rsid w:val="00B12E2E"/>
    <w:rsid w:val="00B15785"/>
    <w:rsid w:val="00B17259"/>
    <w:rsid w:val="00B20D4D"/>
    <w:rsid w:val="00B219D1"/>
    <w:rsid w:val="00B22F4F"/>
    <w:rsid w:val="00B24815"/>
    <w:rsid w:val="00B24F35"/>
    <w:rsid w:val="00B250CF"/>
    <w:rsid w:val="00B254A2"/>
    <w:rsid w:val="00B271C7"/>
    <w:rsid w:val="00B27A31"/>
    <w:rsid w:val="00B3087D"/>
    <w:rsid w:val="00B31134"/>
    <w:rsid w:val="00B321DC"/>
    <w:rsid w:val="00B3371A"/>
    <w:rsid w:val="00B35BEC"/>
    <w:rsid w:val="00B36F58"/>
    <w:rsid w:val="00B41E17"/>
    <w:rsid w:val="00B43CB4"/>
    <w:rsid w:val="00B44269"/>
    <w:rsid w:val="00B45A16"/>
    <w:rsid w:val="00B45DDF"/>
    <w:rsid w:val="00B461EA"/>
    <w:rsid w:val="00B46C0A"/>
    <w:rsid w:val="00B47370"/>
    <w:rsid w:val="00B47A05"/>
    <w:rsid w:val="00B51F13"/>
    <w:rsid w:val="00B535A8"/>
    <w:rsid w:val="00B5382D"/>
    <w:rsid w:val="00B56033"/>
    <w:rsid w:val="00B6058C"/>
    <w:rsid w:val="00B606A2"/>
    <w:rsid w:val="00B607BD"/>
    <w:rsid w:val="00B6380D"/>
    <w:rsid w:val="00B6397A"/>
    <w:rsid w:val="00B6462E"/>
    <w:rsid w:val="00B66FC9"/>
    <w:rsid w:val="00B736FF"/>
    <w:rsid w:val="00B80CC5"/>
    <w:rsid w:val="00B8159E"/>
    <w:rsid w:val="00B81CFA"/>
    <w:rsid w:val="00B82C8D"/>
    <w:rsid w:val="00B83073"/>
    <w:rsid w:val="00B845BC"/>
    <w:rsid w:val="00B85163"/>
    <w:rsid w:val="00B871D0"/>
    <w:rsid w:val="00B87285"/>
    <w:rsid w:val="00B9016A"/>
    <w:rsid w:val="00B9161C"/>
    <w:rsid w:val="00B919F3"/>
    <w:rsid w:val="00B92475"/>
    <w:rsid w:val="00B96D4E"/>
    <w:rsid w:val="00BA04F1"/>
    <w:rsid w:val="00BA0501"/>
    <w:rsid w:val="00BA26A3"/>
    <w:rsid w:val="00BA2D2A"/>
    <w:rsid w:val="00BA51F4"/>
    <w:rsid w:val="00BA7087"/>
    <w:rsid w:val="00BB0F96"/>
    <w:rsid w:val="00BB2E8B"/>
    <w:rsid w:val="00BB3CBB"/>
    <w:rsid w:val="00BB43D7"/>
    <w:rsid w:val="00BB5921"/>
    <w:rsid w:val="00BB72FB"/>
    <w:rsid w:val="00BB7929"/>
    <w:rsid w:val="00BC244C"/>
    <w:rsid w:val="00BC2F9C"/>
    <w:rsid w:val="00BC5069"/>
    <w:rsid w:val="00BC6A7C"/>
    <w:rsid w:val="00BC7B70"/>
    <w:rsid w:val="00BD06A8"/>
    <w:rsid w:val="00BD182F"/>
    <w:rsid w:val="00BD2DD4"/>
    <w:rsid w:val="00BD3978"/>
    <w:rsid w:val="00BD5933"/>
    <w:rsid w:val="00BD61A9"/>
    <w:rsid w:val="00BD67CE"/>
    <w:rsid w:val="00BE28A9"/>
    <w:rsid w:val="00BE44FE"/>
    <w:rsid w:val="00BF2228"/>
    <w:rsid w:val="00BF6932"/>
    <w:rsid w:val="00BF7839"/>
    <w:rsid w:val="00C00F3C"/>
    <w:rsid w:val="00C01989"/>
    <w:rsid w:val="00C01C49"/>
    <w:rsid w:val="00C01D16"/>
    <w:rsid w:val="00C033DB"/>
    <w:rsid w:val="00C03FA9"/>
    <w:rsid w:val="00C05609"/>
    <w:rsid w:val="00C070D7"/>
    <w:rsid w:val="00C10C9B"/>
    <w:rsid w:val="00C1179A"/>
    <w:rsid w:val="00C12A2A"/>
    <w:rsid w:val="00C13791"/>
    <w:rsid w:val="00C14716"/>
    <w:rsid w:val="00C16705"/>
    <w:rsid w:val="00C2303D"/>
    <w:rsid w:val="00C27853"/>
    <w:rsid w:val="00C30E02"/>
    <w:rsid w:val="00C324FE"/>
    <w:rsid w:val="00C363FC"/>
    <w:rsid w:val="00C41402"/>
    <w:rsid w:val="00C42487"/>
    <w:rsid w:val="00C44545"/>
    <w:rsid w:val="00C50022"/>
    <w:rsid w:val="00C50381"/>
    <w:rsid w:val="00C53743"/>
    <w:rsid w:val="00C5394C"/>
    <w:rsid w:val="00C60010"/>
    <w:rsid w:val="00C6132C"/>
    <w:rsid w:val="00C63B85"/>
    <w:rsid w:val="00C65F9F"/>
    <w:rsid w:val="00C66DD7"/>
    <w:rsid w:val="00C70292"/>
    <w:rsid w:val="00C70CFD"/>
    <w:rsid w:val="00C71C44"/>
    <w:rsid w:val="00C71DED"/>
    <w:rsid w:val="00C72094"/>
    <w:rsid w:val="00C74BE0"/>
    <w:rsid w:val="00C753C6"/>
    <w:rsid w:val="00C7696A"/>
    <w:rsid w:val="00C77BEF"/>
    <w:rsid w:val="00C8016C"/>
    <w:rsid w:val="00C817EC"/>
    <w:rsid w:val="00C82D09"/>
    <w:rsid w:val="00C83375"/>
    <w:rsid w:val="00C835FA"/>
    <w:rsid w:val="00C94761"/>
    <w:rsid w:val="00CA0BA7"/>
    <w:rsid w:val="00CA3F50"/>
    <w:rsid w:val="00CA4E45"/>
    <w:rsid w:val="00CA54BB"/>
    <w:rsid w:val="00CA5880"/>
    <w:rsid w:val="00CB00D2"/>
    <w:rsid w:val="00CB13B8"/>
    <w:rsid w:val="00CB16A3"/>
    <w:rsid w:val="00CC0D5A"/>
    <w:rsid w:val="00CC3397"/>
    <w:rsid w:val="00CC5C00"/>
    <w:rsid w:val="00CC6113"/>
    <w:rsid w:val="00CD0C60"/>
    <w:rsid w:val="00CD1B30"/>
    <w:rsid w:val="00CD2CD4"/>
    <w:rsid w:val="00CD6063"/>
    <w:rsid w:val="00CD62D4"/>
    <w:rsid w:val="00CD6BF2"/>
    <w:rsid w:val="00CD709F"/>
    <w:rsid w:val="00CE14C3"/>
    <w:rsid w:val="00CE2578"/>
    <w:rsid w:val="00CE5D47"/>
    <w:rsid w:val="00CE66C0"/>
    <w:rsid w:val="00CF1111"/>
    <w:rsid w:val="00CF2355"/>
    <w:rsid w:val="00CF315B"/>
    <w:rsid w:val="00CF3C96"/>
    <w:rsid w:val="00CF40C7"/>
    <w:rsid w:val="00CF4584"/>
    <w:rsid w:val="00CF52B3"/>
    <w:rsid w:val="00CF72E0"/>
    <w:rsid w:val="00D0001A"/>
    <w:rsid w:val="00D003E2"/>
    <w:rsid w:val="00D00733"/>
    <w:rsid w:val="00D04DBA"/>
    <w:rsid w:val="00D053CE"/>
    <w:rsid w:val="00D05453"/>
    <w:rsid w:val="00D05A7E"/>
    <w:rsid w:val="00D07830"/>
    <w:rsid w:val="00D1320E"/>
    <w:rsid w:val="00D13555"/>
    <w:rsid w:val="00D13EDE"/>
    <w:rsid w:val="00D14ADF"/>
    <w:rsid w:val="00D21883"/>
    <w:rsid w:val="00D26CB7"/>
    <w:rsid w:val="00D32686"/>
    <w:rsid w:val="00D42EE7"/>
    <w:rsid w:val="00D43BCC"/>
    <w:rsid w:val="00D456F2"/>
    <w:rsid w:val="00D468A4"/>
    <w:rsid w:val="00D47086"/>
    <w:rsid w:val="00D511FB"/>
    <w:rsid w:val="00D5322B"/>
    <w:rsid w:val="00D5322F"/>
    <w:rsid w:val="00D55D32"/>
    <w:rsid w:val="00D601DA"/>
    <w:rsid w:val="00D60EBF"/>
    <w:rsid w:val="00D63E01"/>
    <w:rsid w:val="00D64D96"/>
    <w:rsid w:val="00D72703"/>
    <w:rsid w:val="00D74172"/>
    <w:rsid w:val="00D74206"/>
    <w:rsid w:val="00D75547"/>
    <w:rsid w:val="00D765F9"/>
    <w:rsid w:val="00D775EE"/>
    <w:rsid w:val="00D80BC1"/>
    <w:rsid w:val="00D81694"/>
    <w:rsid w:val="00D82F89"/>
    <w:rsid w:val="00D873A6"/>
    <w:rsid w:val="00D8748E"/>
    <w:rsid w:val="00D940C5"/>
    <w:rsid w:val="00D941FB"/>
    <w:rsid w:val="00D94737"/>
    <w:rsid w:val="00D9620C"/>
    <w:rsid w:val="00DA659F"/>
    <w:rsid w:val="00DB1B4F"/>
    <w:rsid w:val="00DB4585"/>
    <w:rsid w:val="00DB7EF0"/>
    <w:rsid w:val="00DC0438"/>
    <w:rsid w:val="00DC0A75"/>
    <w:rsid w:val="00DC1D49"/>
    <w:rsid w:val="00DC31BB"/>
    <w:rsid w:val="00DC334E"/>
    <w:rsid w:val="00DC47C4"/>
    <w:rsid w:val="00DC5029"/>
    <w:rsid w:val="00DC5747"/>
    <w:rsid w:val="00DD31D7"/>
    <w:rsid w:val="00DD5294"/>
    <w:rsid w:val="00DD5718"/>
    <w:rsid w:val="00DE7B2A"/>
    <w:rsid w:val="00DF3B68"/>
    <w:rsid w:val="00DF5620"/>
    <w:rsid w:val="00DF5D74"/>
    <w:rsid w:val="00E02582"/>
    <w:rsid w:val="00E053D0"/>
    <w:rsid w:val="00E0638C"/>
    <w:rsid w:val="00E0722D"/>
    <w:rsid w:val="00E17151"/>
    <w:rsid w:val="00E1745B"/>
    <w:rsid w:val="00E217FB"/>
    <w:rsid w:val="00E2520C"/>
    <w:rsid w:val="00E257B9"/>
    <w:rsid w:val="00E34F38"/>
    <w:rsid w:val="00E35A11"/>
    <w:rsid w:val="00E35E01"/>
    <w:rsid w:val="00E36794"/>
    <w:rsid w:val="00E407AF"/>
    <w:rsid w:val="00E435C8"/>
    <w:rsid w:val="00E4595C"/>
    <w:rsid w:val="00E4672F"/>
    <w:rsid w:val="00E512EB"/>
    <w:rsid w:val="00E531DD"/>
    <w:rsid w:val="00E5416F"/>
    <w:rsid w:val="00E5615E"/>
    <w:rsid w:val="00E57E69"/>
    <w:rsid w:val="00E60B9C"/>
    <w:rsid w:val="00E61F21"/>
    <w:rsid w:val="00E71EC1"/>
    <w:rsid w:val="00E72C91"/>
    <w:rsid w:val="00E7508A"/>
    <w:rsid w:val="00E75AE0"/>
    <w:rsid w:val="00E8190F"/>
    <w:rsid w:val="00E81E5D"/>
    <w:rsid w:val="00E820C4"/>
    <w:rsid w:val="00E82FC1"/>
    <w:rsid w:val="00E83D08"/>
    <w:rsid w:val="00E844B7"/>
    <w:rsid w:val="00E84FA9"/>
    <w:rsid w:val="00E92FB8"/>
    <w:rsid w:val="00E954FA"/>
    <w:rsid w:val="00E959BF"/>
    <w:rsid w:val="00EA11CC"/>
    <w:rsid w:val="00EA131F"/>
    <w:rsid w:val="00EA3162"/>
    <w:rsid w:val="00EA37E9"/>
    <w:rsid w:val="00EA4A47"/>
    <w:rsid w:val="00EA53B2"/>
    <w:rsid w:val="00EA70FE"/>
    <w:rsid w:val="00EB0E15"/>
    <w:rsid w:val="00EB2E9D"/>
    <w:rsid w:val="00EB58FC"/>
    <w:rsid w:val="00EB7FF4"/>
    <w:rsid w:val="00EC1331"/>
    <w:rsid w:val="00EC13B6"/>
    <w:rsid w:val="00EC4C1C"/>
    <w:rsid w:val="00EC4D66"/>
    <w:rsid w:val="00EC602A"/>
    <w:rsid w:val="00ED0731"/>
    <w:rsid w:val="00ED234B"/>
    <w:rsid w:val="00ED2F66"/>
    <w:rsid w:val="00ED3AF8"/>
    <w:rsid w:val="00ED41B5"/>
    <w:rsid w:val="00ED5FFD"/>
    <w:rsid w:val="00ED6341"/>
    <w:rsid w:val="00EE30D0"/>
    <w:rsid w:val="00EE3531"/>
    <w:rsid w:val="00EE7D69"/>
    <w:rsid w:val="00EF2325"/>
    <w:rsid w:val="00EF23C7"/>
    <w:rsid w:val="00EF29DE"/>
    <w:rsid w:val="00EF2E2E"/>
    <w:rsid w:val="00EF5E33"/>
    <w:rsid w:val="00F021AD"/>
    <w:rsid w:val="00F05245"/>
    <w:rsid w:val="00F10180"/>
    <w:rsid w:val="00F12202"/>
    <w:rsid w:val="00F206E6"/>
    <w:rsid w:val="00F20778"/>
    <w:rsid w:val="00F244BB"/>
    <w:rsid w:val="00F24F8F"/>
    <w:rsid w:val="00F25910"/>
    <w:rsid w:val="00F26226"/>
    <w:rsid w:val="00F27472"/>
    <w:rsid w:val="00F27B34"/>
    <w:rsid w:val="00F3112F"/>
    <w:rsid w:val="00F36361"/>
    <w:rsid w:val="00F367E2"/>
    <w:rsid w:val="00F4166C"/>
    <w:rsid w:val="00F44B53"/>
    <w:rsid w:val="00F4696C"/>
    <w:rsid w:val="00F46ABE"/>
    <w:rsid w:val="00F47628"/>
    <w:rsid w:val="00F503D1"/>
    <w:rsid w:val="00F50871"/>
    <w:rsid w:val="00F5292D"/>
    <w:rsid w:val="00F52C44"/>
    <w:rsid w:val="00F563FC"/>
    <w:rsid w:val="00F56F2F"/>
    <w:rsid w:val="00F57324"/>
    <w:rsid w:val="00F576AA"/>
    <w:rsid w:val="00F577D9"/>
    <w:rsid w:val="00F578A1"/>
    <w:rsid w:val="00F608CC"/>
    <w:rsid w:val="00F638BA"/>
    <w:rsid w:val="00F65A9D"/>
    <w:rsid w:val="00F667EE"/>
    <w:rsid w:val="00F6696F"/>
    <w:rsid w:val="00F726C9"/>
    <w:rsid w:val="00F8075F"/>
    <w:rsid w:val="00F810FB"/>
    <w:rsid w:val="00F82651"/>
    <w:rsid w:val="00F8659A"/>
    <w:rsid w:val="00F871A4"/>
    <w:rsid w:val="00F92ADF"/>
    <w:rsid w:val="00F973C3"/>
    <w:rsid w:val="00FA43B4"/>
    <w:rsid w:val="00FA45FE"/>
    <w:rsid w:val="00FB3AAA"/>
    <w:rsid w:val="00FB41C0"/>
    <w:rsid w:val="00FB5308"/>
    <w:rsid w:val="00FB6038"/>
    <w:rsid w:val="00FC0724"/>
    <w:rsid w:val="00FC0779"/>
    <w:rsid w:val="00FC0963"/>
    <w:rsid w:val="00FC3C51"/>
    <w:rsid w:val="00FC42D2"/>
    <w:rsid w:val="00FC65A8"/>
    <w:rsid w:val="00FC745A"/>
    <w:rsid w:val="00FD0FB6"/>
    <w:rsid w:val="00FD2641"/>
    <w:rsid w:val="00FD32A7"/>
    <w:rsid w:val="00FD38AA"/>
    <w:rsid w:val="00FD4186"/>
    <w:rsid w:val="00FE16D0"/>
    <w:rsid w:val="00FE2C3D"/>
    <w:rsid w:val="00FE5C54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0E6E5"/>
  <w15:docId w15:val="{39E36A4D-4AAB-4AC5-A6F5-AB8CBB27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99"/>
    <w:lsdException w:name="List Paragraph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013550"/>
    <w:pPr>
      <w:spacing w:after="200"/>
    </w:pPr>
    <w:rPr>
      <w:rFonts w:eastAsiaTheme="minorHAnsi" w:cstheme="minorBidi"/>
      <w:lang w:eastAsia="en-US"/>
    </w:rPr>
  </w:style>
  <w:style w:type="paragraph" w:styleId="Heading1">
    <w:name w:val="heading 1"/>
    <w:next w:val="Normal"/>
    <w:link w:val="Heading1Char"/>
    <w:qFormat/>
    <w:rsid w:val="00B46C0A"/>
    <w:pPr>
      <w:keepNext/>
      <w:keepLines/>
      <w:spacing w:before="120"/>
      <w:outlineLvl w:val="0"/>
    </w:pPr>
    <w:rPr>
      <w:b/>
      <w:bCs/>
      <w:caps/>
      <w:color w:val="000000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B46C0A"/>
    <w:pPr>
      <w:spacing w:after="200"/>
      <w:outlineLvl w:val="1"/>
    </w:pPr>
    <w:rPr>
      <w:rFonts w:cs="Arial"/>
      <w:iCs/>
      <w:sz w:val="28"/>
    </w:rPr>
  </w:style>
  <w:style w:type="paragraph" w:styleId="Heading3">
    <w:name w:val="heading 3"/>
    <w:basedOn w:val="Heading2"/>
    <w:next w:val="Normal"/>
    <w:link w:val="Heading3Char"/>
    <w:qFormat/>
    <w:rsid w:val="00155112"/>
    <w:pPr>
      <w:pBdr>
        <w:bottom w:val="single" w:sz="4" w:space="1" w:color="auto"/>
      </w:pBdr>
      <w:outlineLvl w:val="2"/>
    </w:pPr>
  </w:style>
  <w:style w:type="paragraph" w:styleId="Heading4">
    <w:name w:val="heading 4"/>
    <w:basedOn w:val="Heading"/>
    <w:next w:val="Normal"/>
    <w:link w:val="Heading4Char"/>
    <w:qFormat/>
    <w:rsid w:val="00013550"/>
    <w:pPr>
      <w:ind w:left="930" w:hanging="93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0A"/>
    <w:rPr>
      <w:rFonts w:ascii="Arial" w:hAnsi="Arial"/>
      <w:b/>
      <w:bCs/>
      <w:cap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46C0A"/>
    <w:rPr>
      <w:rFonts w:ascii="Arial" w:hAnsi="Arial" w:cs="Arial"/>
      <w:b/>
      <w:bCs/>
      <w:iCs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5112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3550"/>
    <w:rPr>
      <w:rFonts w:eastAsiaTheme="minorHAnsi" w:cstheme="minorBidi"/>
      <w:b/>
      <w:sz w:val="24"/>
      <w:lang w:eastAsia="en-US"/>
    </w:rPr>
  </w:style>
  <w:style w:type="paragraph" w:customStyle="1" w:styleId="NumberedFirstLevel">
    <w:name w:val="Numbered First Level"/>
    <w:basedOn w:val="Normal"/>
    <w:qFormat/>
    <w:rsid w:val="00B46C0A"/>
    <w:pPr>
      <w:numPr>
        <w:ilvl w:val="1"/>
        <w:numId w:val="12"/>
      </w:numPr>
      <w:spacing w:after="120"/>
    </w:pPr>
  </w:style>
  <w:style w:type="paragraph" w:customStyle="1" w:styleId="NormalDotPoint">
    <w:name w:val="Normal Dot Point"/>
    <w:basedOn w:val="Normal"/>
    <w:qFormat/>
    <w:rsid w:val="00517FA8"/>
    <w:pPr>
      <w:numPr>
        <w:numId w:val="10"/>
      </w:numPr>
      <w:spacing w:after="60"/>
    </w:pPr>
  </w:style>
  <w:style w:type="paragraph" w:customStyle="1" w:styleId="NormalNotes">
    <w:name w:val="Normal Notes"/>
    <w:basedOn w:val="Normal"/>
    <w:qFormat/>
    <w:rsid w:val="00B46C0A"/>
    <w:pPr>
      <w:ind w:left="720" w:hanging="720"/>
    </w:pPr>
    <w:rPr>
      <w:sz w:val="18"/>
    </w:rPr>
  </w:style>
  <w:style w:type="paragraph" w:customStyle="1" w:styleId="NumberedSecondLevel">
    <w:name w:val="Numbered Second Level"/>
    <w:basedOn w:val="NumberedFirstLevel"/>
    <w:qFormat/>
    <w:rsid w:val="00B46C0A"/>
    <w:pPr>
      <w:numPr>
        <w:ilvl w:val="2"/>
      </w:numPr>
    </w:pPr>
  </w:style>
  <w:style w:type="paragraph" w:customStyle="1" w:styleId="NumberedThirdLevel">
    <w:name w:val="Numbered Third Level"/>
    <w:basedOn w:val="NumberedSecondLevel"/>
    <w:qFormat/>
    <w:rsid w:val="00B46C0A"/>
    <w:pPr>
      <w:numPr>
        <w:ilvl w:val="3"/>
      </w:numPr>
    </w:pPr>
  </w:style>
  <w:style w:type="paragraph" w:customStyle="1" w:styleId="Heading">
    <w:name w:val="Heading"/>
    <w:basedOn w:val="Normal"/>
    <w:next w:val="Normal"/>
    <w:qFormat/>
    <w:rsid w:val="00C53743"/>
    <w:pPr>
      <w:keepNext/>
      <w:keepLines/>
      <w:tabs>
        <w:tab w:val="left" w:pos="567"/>
        <w:tab w:val="left" w:pos="1701"/>
      </w:tabs>
      <w:spacing w:before="48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9D4AD2"/>
    <w:pPr>
      <w:tabs>
        <w:tab w:val="right" w:leader="dot" w:pos="7926"/>
      </w:tabs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17FA8"/>
    <w:pPr>
      <w:tabs>
        <w:tab w:val="left" w:pos="600"/>
        <w:tab w:val="right" w:leader="dot" w:pos="7926"/>
      </w:tabs>
      <w:spacing w:after="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rsid w:val="00D940C5"/>
    <w:pPr>
      <w:tabs>
        <w:tab w:val="left" w:pos="800"/>
        <w:tab w:val="right" w:leader="dot" w:pos="7926"/>
      </w:tabs>
      <w:spacing w:after="0"/>
      <w:ind w:left="403"/>
    </w:pPr>
  </w:style>
  <w:style w:type="paragraph" w:styleId="TOC4">
    <w:name w:val="toc 4"/>
    <w:basedOn w:val="Normal"/>
    <w:next w:val="Normal"/>
    <w:autoRedefine/>
    <w:rsid w:val="00B46C0A"/>
    <w:pPr>
      <w:ind w:left="600"/>
    </w:pPr>
  </w:style>
  <w:style w:type="paragraph" w:styleId="TOC5">
    <w:name w:val="toc 5"/>
    <w:basedOn w:val="Normal"/>
    <w:next w:val="Normal"/>
    <w:autoRedefine/>
    <w:rsid w:val="00B46C0A"/>
    <w:pPr>
      <w:ind w:left="800"/>
    </w:pPr>
  </w:style>
  <w:style w:type="paragraph" w:styleId="TOC6">
    <w:name w:val="toc 6"/>
    <w:basedOn w:val="Normal"/>
    <w:next w:val="Normal"/>
    <w:autoRedefine/>
    <w:rsid w:val="00B46C0A"/>
    <w:pPr>
      <w:ind w:left="1000"/>
    </w:pPr>
  </w:style>
  <w:style w:type="paragraph" w:styleId="TOC7">
    <w:name w:val="toc 7"/>
    <w:basedOn w:val="Normal"/>
    <w:next w:val="Normal"/>
    <w:autoRedefine/>
    <w:rsid w:val="00B46C0A"/>
    <w:pPr>
      <w:ind w:left="1200"/>
    </w:pPr>
  </w:style>
  <w:style w:type="paragraph" w:styleId="TOC8">
    <w:name w:val="toc 8"/>
    <w:basedOn w:val="Normal"/>
    <w:next w:val="Normal"/>
    <w:autoRedefine/>
    <w:rsid w:val="00B46C0A"/>
    <w:pPr>
      <w:ind w:left="1400"/>
    </w:pPr>
  </w:style>
  <w:style w:type="paragraph" w:styleId="TOC9">
    <w:name w:val="toc 9"/>
    <w:basedOn w:val="Normal"/>
    <w:next w:val="Normal"/>
    <w:autoRedefine/>
    <w:rsid w:val="00B46C0A"/>
    <w:pPr>
      <w:ind w:left="1600"/>
    </w:pPr>
  </w:style>
  <w:style w:type="paragraph" w:styleId="Header">
    <w:name w:val="header"/>
    <w:basedOn w:val="Normal"/>
    <w:link w:val="HeaderChar"/>
    <w:rsid w:val="00B46C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46C0A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0015E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015EA"/>
    <w:rPr>
      <w:rFonts w:eastAsiaTheme="minorHAnsi" w:cstheme="minorBidi"/>
      <w:sz w:val="16"/>
      <w:lang w:eastAsia="en-US"/>
    </w:rPr>
  </w:style>
  <w:style w:type="character" w:styleId="Hyperlink">
    <w:name w:val="Hyperlink"/>
    <w:basedOn w:val="DefaultParagraphFont"/>
    <w:rsid w:val="00B46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6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C0A"/>
    <w:tblPr/>
  </w:style>
  <w:style w:type="paragraph" w:styleId="ListParagraph">
    <w:name w:val="List Paragraph"/>
    <w:basedOn w:val="Normal"/>
    <w:rsid w:val="00B46C0A"/>
    <w:pPr>
      <w:ind w:left="720"/>
      <w:contextualSpacing/>
    </w:pPr>
  </w:style>
  <w:style w:type="paragraph" w:customStyle="1" w:styleId="TemplateInstructions">
    <w:name w:val="Template Instructions"/>
    <w:basedOn w:val="Normal"/>
    <w:rsid w:val="00013550"/>
    <w:pPr>
      <w:spacing w:before="120" w:after="120"/>
    </w:pPr>
    <w:rPr>
      <w:i/>
      <w:color w:val="0070C0"/>
    </w:rPr>
  </w:style>
  <w:style w:type="paragraph" w:customStyle="1" w:styleId="NormalAdministrativeNotes">
    <w:name w:val="Normal Administrative Notes"/>
    <w:basedOn w:val="Normal"/>
    <w:rsid w:val="00C53743"/>
    <w:pPr>
      <w:tabs>
        <w:tab w:val="left" w:pos="2127"/>
      </w:tabs>
      <w:ind w:left="2127" w:hanging="2127"/>
    </w:pPr>
  </w:style>
  <w:style w:type="paragraph" w:customStyle="1" w:styleId="TemplateInstructionsHeading1">
    <w:name w:val="Template Instructions Heading 1"/>
    <w:basedOn w:val="Heading2"/>
    <w:rsid w:val="00140B1C"/>
    <w:rPr>
      <w:color w:val="0070C0"/>
    </w:rPr>
  </w:style>
  <w:style w:type="character" w:styleId="UnresolvedMention">
    <w:name w:val="Unresolved Mention"/>
    <w:basedOn w:val="DefaultParagraphFont"/>
    <w:uiPriority w:val="99"/>
    <w:semiHidden/>
    <w:unhideWhenUsed/>
    <w:rsid w:val="00B90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B072E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locked/>
    <w:rsid w:val="00636E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636E10"/>
  </w:style>
  <w:style w:type="character" w:customStyle="1" w:styleId="CommentTextChar">
    <w:name w:val="Comment Text Char"/>
    <w:basedOn w:val="DefaultParagraphFont"/>
    <w:link w:val="CommentText"/>
    <w:rsid w:val="00636E10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36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6E10"/>
    <w:rPr>
      <w:rFonts w:eastAsia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6748CD"/>
    <w:rPr>
      <w:rFonts w:eastAsiaTheme="minorHAnsi" w:cstheme="minorBidi"/>
      <w:lang w:eastAsia="en-US"/>
    </w:rPr>
  </w:style>
  <w:style w:type="character" w:styleId="SubtleEmphasis">
    <w:name w:val="Subtle Emphasis"/>
    <w:basedOn w:val="DefaultParagraphFont"/>
    <w:uiPriority w:val="19"/>
    <w:qFormat/>
    <w:locked/>
    <w:rsid w:val="008C18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ydney.edu.au/policies/showdoc.aspx?recnum=PDOC2011/136&amp;RendNum=0" TargetMode="External"/><Relationship Id="rId18" Type="http://schemas.openxmlformats.org/officeDocument/2006/relationships/hyperlink" Target="http://sydney.edu.au/policies/showdoc.aspx?recnum=PDOC2011/72&amp;RendNum=0" TargetMode="External"/><Relationship Id="rId26" Type="http://schemas.openxmlformats.org/officeDocument/2006/relationships/hyperlink" Target="mailto:Syd_Uni_Treasury_Ops@sydney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ydneyuni.service-now.com/sm?id=kb_article_view_sec&amp;sysparm_article=KB0014625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sydney.edu.au/policies/showdoc.aspx?recnum=PDOC2011/135&amp;RendNum=0" TargetMode="External"/><Relationship Id="rId17" Type="http://schemas.openxmlformats.org/officeDocument/2006/relationships/hyperlink" Target="https://sydneyuni.service-now.com/sm?id=kb_article_view_sec&amp;sysparm_article=KB0017358&amp;sys_kb_id=42cc7d2b1b7c9590837220a13d4bcb43&amp;spa=1" TargetMode="External"/><Relationship Id="rId25" Type="http://schemas.openxmlformats.org/officeDocument/2006/relationships/hyperlink" Target="https://intranet.sydney.edu.au/content/dam/intranet/documents/working/finance-management/finance-forms/chequecancel_form.xl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ydneyuni.service-now.com/sm?sys_kb_id=e93743cfdb48601051618a1705961904&amp;id=kb_article_view&amp;sysparm_rank=21&amp;sysparm_tsqueryId=c831ca371bf0959064ed41d8ec4bcb8c" TargetMode="External"/><Relationship Id="rId20" Type="http://schemas.openxmlformats.org/officeDocument/2006/relationships/hyperlink" Target="https://sydneyuni.service-now.com/sm?id=kb_article_view_sec&amp;sysparm_article=KB0014623&amp;sys_kb_id=306d42891b68951464ed41d8ec4bcbf4&amp;spa=1" TargetMode="External"/><Relationship Id="rId29" Type="http://schemas.openxmlformats.org/officeDocument/2006/relationships/hyperlink" Target="http://sydney.edu.au/arms/records_mgmt/uni_rec_manual.s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ydney.edu.au/policies/showdoc.aspx?recnum=PDOC2011/40&amp;RendNum=0" TargetMode="External"/><Relationship Id="rId24" Type="http://schemas.openxmlformats.org/officeDocument/2006/relationships/hyperlink" Target="https://sydney.edu.au/students/student-contacts-enquiries/hdrac.html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C2019C00140" TargetMode="External"/><Relationship Id="rId23" Type="http://schemas.openxmlformats.org/officeDocument/2006/relationships/hyperlink" Target="https://sydneyuni.service-now.com/sm?id=kb_article_view_sec&amp;sysparm_article=KB0017357&amp;sys_kb_id=3b379db11b3064107dfcbaeccc4bcb3f&amp;spa=1" TargetMode="External"/><Relationship Id="rId28" Type="http://schemas.openxmlformats.org/officeDocument/2006/relationships/hyperlink" Target="http://sydney.edu.au/policies/showdoc.aspx?recnum=PDOC2011/83&amp;RendNum=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ydneyuni.service-now.com/sm?id=kb_article_view&amp;sysparm_article=KB0032563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ydney.edu.au/policies/showdoc.aspx?recnum=PDOC2011/25&amp;RendNum=0" TargetMode="External"/><Relationship Id="rId22" Type="http://schemas.openxmlformats.org/officeDocument/2006/relationships/hyperlink" Target="https://sydneyuni.service-now.com/sm?id=kb_article_view_sec&amp;sysparm_article=KB0017357&amp;sys_kb_id=3b379db11b3064107dfcbaeccc4bcb3f&amp;spa=1" TargetMode="External"/><Relationship Id="rId27" Type="http://schemas.openxmlformats.org/officeDocument/2006/relationships/hyperlink" Target="http://sydney.edu.au/policies/showdoc.aspx?recnum=PDOC2011/72&amp;RendNum=0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are\Downloads\20142802-Procedure-Template%20(3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66840D3C4B342B1D010C8E7815A34" ma:contentTypeVersion="18" ma:contentTypeDescription="Create a new document." ma:contentTypeScope="" ma:versionID="0ad2e978bb1b2ea20938c91a2174265b">
  <xsd:schema xmlns:xsd="http://www.w3.org/2001/XMLSchema" xmlns:xs="http://www.w3.org/2001/XMLSchema" xmlns:p="http://schemas.microsoft.com/office/2006/metadata/properties" xmlns:ns2="b76a453d-ff89-4c56-8d18-ee82d5c5d847" xmlns:ns3="8cf4b9a6-6c2c-4689-aa28-fe0a73bbb3cb" targetNamespace="http://schemas.microsoft.com/office/2006/metadata/properties" ma:root="true" ma:fieldsID="c045c3a4c9d2c6ff06d43e63e31961b1" ns2:_="" ns3:_="">
    <xsd:import namespace="b76a453d-ff89-4c56-8d18-ee82d5c5d847"/>
    <xsd:import namespace="8cf4b9a6-6c2c-4689-aa28-fe0a73bbb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453d-ff89-4c56-8d18-ee82d5c5d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4b9a6-6c2c-4689-aa28-fe0a73bbb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9f3c3-1096-4929-9cda-68aa9293b57b}" ma:internalName="TaxCatchAll" ma:showField="CatchAllData" ma:web="8cf4b9a6-6c2c-4689-aa28-fe0a73bbb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6a453d-ff89-4c56-8d18-ee82d5c5d847">
      <Terms xmlns="http://schemas.microsoft.com/office/infopath/2007/PartnerControls"/>
    </lcf76f155ced4ddcb4097134ff3c332f>
    <TaxCatchAll xmlns="8cf4b9a6-6c2c-4689-aa28-fe0a73bbb3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AEA7-1074-4BCC-B7AE-8351BB11C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a453d-ff89-4c56-8d18-ee82d5c5d847"/>
    <ds:schemaRef ds:uri="8cf4b9a6-6c2c-4689-aa28-fe0a73bbb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109EC-9A3E-4773-ADC6-45C91C152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DEDFC-1774-45D5-A3CF-047339DF97C2}">
  <ds:schemaRefs>
    <ds:schemaRef ds:uri="http://purl.org/dc/terms/"/>
    <ds:schemaRef ds:uri="http://purl.org/dc/dcmitype/"/>
    <ds:schemaRef ds:uri="http://schemas.microsoft.com/office/infopath/2007/PartnerControls"/>
    <ds:schemaRef ds:uri="8cf4b9a6-6c2c-4689-aa28-fe0a73bbb3cb"/>
    <ds:schemaRef ds:uri="http://schemas.microsoft.com/office/2006/documentManagement/types"/>
    <ds:schemaRef ds:uri="http://purl.org/dc/elements/1.1/"/>
    <ds:schemaRef ds:uri="b76a453d-ff89-4c56-8d18-ee82d5c5d847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0C9896-5AEA-4A29-8A61-CD1FB91EE6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20142802-Procedure-Template (33)</Template>
  <TotalTime>2</TotalTime>
  <Pages>8</Pages>
  <Words>2050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and Payment Procedures 2022</vt:lpstr>
    </vt:vector>
  </TitlesOfParts>
  <Company>University of Sydney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and Payment Procedures 2022</dc:title>
  <dc:subject>Accounts Payable</dc:subject>
  <dc:creator>policy.register@sydney.edu.au</dc:creator>
  <cp:lastModifiedBy>Rachel Symons</cp:lastModifiedBy>
  <cp:revision>3</cp:revision>
  <cp:lastPrinted>2023-10-31T01:45:00Z</cp:lastPrinted>
  <dcterms:created xsi:type="dcterms:W3CDTF">2024-02-19T04:43:00Z</dcterms:created>
  <dcterms:modified xsi:type="dcterms:W3CDTF">2024-02-19T04:44:00Z</dcterms:modified>
  <cp:category>Supplier and Payment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27341/929497_1</vt:lpwstr>
  </property>
  <property fmtid="{D5CDD505-2E9C-101B-9397-08002B2CF9AE}" pid="3" name="ContentTypeId">
    <vt:lpwstr>0x0101004F066840D3C4B342B1D010C8E7815A34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