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7F4E" w14:textId="77777777" w:rsidR="00E57E69" w:rsidRDefault="008A42A3" w:rsidP="00E57E69">
      <w:pPr>
        <w:pStyle w:val="Heading1"/>
      </w:pPr>
      <w:r>
        <w:t>Open Acce</w:t>
      </w:r>
      <w:r w:rsidR="007F5FD8">
        <w:t xml:space="preserve">ss </w:t>
      </w:r>
      <w:r w:rsidR="00800E47">
        <w:t xml:space="preserve">TO UNIVERSITY RESEARCH </w:t>
      </w:r>
      <w:r w:rsidR="007F5FD8">
        <w:t>polic</w:t>
      </w:r>
      <w:r>
        <w:t xml:space="preserve">y </w:t>
      </w:r>
      <w:r w:rsidR="0093211B">
        <w:t>201</w:t>
      </w:r>
      <w:r w:rsidR="00114738">
        <w:t>5</w:t>
      </w:r>
    </w:p>
    <w:p w14:paraId="3291C0CF" w14:textId="77777777" w:rsidR="00E57E69" w:rsidRPr="00871E97" w:rsidRDefault="00E57E69" w:rsidP="00E57E69">
      <w:pPr>
        <w:pStyle w:val="Text"/>
      </w:pPr>
    </w:p>
    <w:p w14:paraId="1C9E8723" w14:textId="77777777" w:rsidR="00E57E69" w:rsidRDefault="008A42A3" w:rsidP="00A8680F">
      <w:r w:rsidRPr="00A8680F">
        <w:t xml:space="preserve">The </w:t>
      </w:r>
      <w:r w:rsidR="00A160BC" w:rsidRPr="00A8680F">
        <w:t>Vice Chancellor,</w:t>
      </w:r>
      <w:r w:rsidR="00E57E69" w:rsidRPr="00A8680F">
        <w:t xml:space="preserve"> as delegate of the Se</w:t>
      </w:r>
      <w:r w:rsidR="00050D46" w:rsidRPr="00A8680F">
        <w:t>nate of the University of Sydney</w:t>
      </w:r>
      <w:r w:rsidR="00E57E69" w:rsidRPr="00A8680F">
        <w:t>, adopts the</w:t>
      </w:r>
      <w:r w:rsidR="00E57E69">
        <w:t xml:space="preserve"> following policy.</w:t>
      </w:r>
    </w:p>
    <w:p w14:paraId="08B31D90" w14:textId="401563A8" w:rsidR="00E57E69" w:rsidRDefault="00E57E69" w:rsidP="00A8680F">
      <w:r>
        <w:t>Dated:</w:t>
      </w:r>
      <w:r w:rsidR="009E6D2E">
        <w:t xml:space="preserve"> </w:t>
      </w:r>
      <w:r w:rsidR="00C966A1">
        <w:tab/>
      </w:r>
      <w:r w:rsidR="00C966A1">
        <w:tab/>
      </w:r>
      <w:r w:rsidR="009E6D2E">
        <w:t>4 December 2014</w:t>
      </w:r>
    </w:p>
    <w:p w14:paraId="5A81DA9A" w14:textId="3F36B657" w:rsidR="00E57E69" w:rsidRDefault="003368F0" w:rsidP="00A8680F">
      <w:r>
        <w:t>Date a</w:t>
      </w:r>
      <w:r w:rsidR="00E57E69">
        <w:t>mended:</w:t>
      </w:r>
      <w:r>
        <w:tab/>
      </w:r>
      <w:r w:rsidR="00EE390A" w:rsidRPr="00A07F9F">
        <w:t>1</w:t>
      </w:r>
      <w:r w:rsidR="00CE7FE1">
        <w:t>5</w:t>
      </w:r>
      <w:r w:rsidR="00EE390A" w:rsidRPr="00A07F9F">
        <w:t xml:space="preserve"> February 2017</w:t>
      </w:r>
      <w:r w:rsidR="00C966A1">
        <w:t xml:space="preserve"> (</w:t>
      </w:r>
      <w:r w:rsidR="00CE7FE1">
        <w:t>a</w:t>
      </w:r>
      <w:r w:rsidR="00C966A1">
        <w:t>dministrative amendments only)</w:t>
      </w:r>
    </w:p>
    <w:p w14:paraId="45F45B8A" w14:textId="13F5BBD6" w:rsidR="003368F0" w:rsidRDefault="003368F0" w:rsidP="00A8680F">
      <w:r>
        <w:tab/>
      </w:r>
      <w:r>
        <w:tab/>
        <w:t>5 November 2018</w:t>
      </w:r>
      <w:r w:rsidR="00DB619E">
        <w:t xml:space="preserve"> (administrative amendments only)</w:t>
      </w:r>
    </w:p>
    <w:p w14:paraId="5533C274" w14:textId="71C45E20" w:rsidR="00113053" w:rsidRDefault="00113053" w:rsidP="00A8680F">
      <w:r>
        <w:tab/>
      </w:r>
      <w:r>
        <w:tab/>
        <w:t>13 February 2021 (administrative amendments only)</w:t>
      </w:r>
    </w:p>
    <w:p w14:paraId="155BF487" w14:textId="30D89D69" w:rsidR="008E4719" w:rsidRDefault="008E4719" w:rsidP="00A8680F">
      <w:r>
        <w:tab/>
      </w:r>
      <w:r>
        <w:tab/>
        <w:t>8 October 2021 (administrative amendment)</w:t>
      </w:r>
    </w:p>
    <w:p w14:paraId="7414E2EF" w14:textId="0BC1F0CB" w:rsidR="00156A3E" w:rsidRDefault="00156A3E" w:rsidP="00A8680F">
      <w:r>
        <w:tab/>
      </w:r>
      <w:r>
        <w:tab/>
      </w:r>
      <w:r w:rsidR="001B0C84">
        <w:t>9</w:t>
      </w:r>
      <w:r>
        <w:t xml:space="preserve"> February 2024 (administrative amendments)</w:t>
      </w:r>
    </w:p>
    <w:p w14:paraId="42AC361D" w14:textId="1863B3A1" w:rsidR="00E57E69" w:rsidRDefault="00E57E69" w:rsidP="00A8680F">
      <w:r>
        <w:t>Signature:</w:t>
      </w:r>
      <w:r w:rsidR="00A160BC">
        <w:tab/>
      </w:r>
    </w:p>
    <w:p w14:paraId="63A4CD27" w14:textId="011B8E34" w:rsidR="00E57E69" w:rsidRDefault="007F5FD8" w:rsidP="00A8680F">
      <w:r>
        <w:t>Name</w:t>
      </w:r>
      <w:r w:rsidR="00E57E69">
        <w:t>:</w:t>
      </w:r>
      <w:r>
        <w:t xml:space="preserve"> </w:t>
      </w:r>
      <w:r w:rsidR="00A160BC">
        <w:tab/>
      </w:r>
      <w:r w:rsidR="00C966A1">
        <w:tab/>
      </w:r>
      <w:r w:rsidR="00A160BC">
        <w:t>Dr Michael Spence</w:t>
      </w:r>
    </w:p>
    <w:p w14:paraId="192B1831" w14:textId="3D665714" w:rsidR="008E4719" w:rsidRDefault="008E4719" w:rsidP="00A8680F">
      <w:r>
        <w:t>Current policy approver:</w:t>
      </w:r>
      <w:r w:rsidR="00E51E7D">
        <w:t xml:space="preserve"> Deputy Vice-Chancellor (Research)</w:t>
      </w:r>
    </w:p>
    <w:p w14:paraId="445F2A1C" w14:textId="77777777" w:rsidR="00E57E69" w:rsidRDefault="00E57E69" w:rsidP="00E57E69">
      <w:r>
        <w:t>_____________________________________________________________________</w:t>
      </w:r>
    </w:p>
    <w:p w14:paraId="11DF3EF4" w14:textId="77777777" w:rsidR="00E57E69" w:rsidRDefault="00E57E69" w:rsidP="00E57E69">
      <w:pPr>
        <w:pStyle w:val="Heading2"/>
      </w:pPr>
      <w:bookmarkStart w:id="0" w:name="_Toc138496787"/>
      <w:r>
        <w:t xml:space="preserve">Contents </w:t>
      </w:r>
      <w:bookmarkEnd w:id="0"/>
    </w:p>
    <w:p w14:paraId="79F36652" w14:textId="7C1BEC90" w:rsidR="00E51E7D" w:rsidRDefault="000C6711">
      <w:pPr>
        <w:pStyle w:val="TOC2"/>
        <w:rPr>
          <w:rFonts w:asciiTheme="minorHAnsi" w:eastAsiaTheme="minorEastAsia" w:hAnsiTheme="minorHAnsi" w:cstheme="minorBidi"/>
          <w:noProof/>
          <w:sz w:val="22"/>
        </w:rPr>
      </w:pPr>
      <w:r w:rsidRPr="009F1B83">
        <w:rPr>
          <w:rFonts w:cs="Arial"/>
          <w:szCs w:val="18"/>
        </w:rPr>
        <w:fldChar w:fldCharType="begin"/>
      </w:r>
      <w:r w:rsidR="00E57E69" w:rsidRPr="009F1B83">
        <w:rPr>
          <w:rFonts w:cs="Arial"/>
          <w:szCs w:val="18"/>
        </w:rPr>
        <w:instrText xml:space="preserve"> TOC \t "Heading,2" </w:instrText>
      </w:r>
      <w:r w:rsidRPr="009F1B83">
        <w:rPr>
          <w:rFonts w:cs="Arial"/>
          <w:szCs w:val="18"/>
        </w:rPr>
        <w:fldChar w:fldCharType="separate"/>
      </w:r>
      <w:r w:rsidR="00E51E7D">
        <w:rPr>
          <w:noProof/>
        </w:rPr>
        <w:t>1</w:t>
      </w:r>
      <w:r w:rsidR="00E51E7D">
        <w:rPr>
          <w:rFonts w:asciiTheme="minorHAnsi" w:eastAsiaTheme="minorEastAsia" w:hAnsiTheme="minorHAnsi" w:cstheme="minorBidi"/>
          <w:noProof/>
          <w:sz w:val="22"/>
        </w:rPr>
        <w:tab/>
      </w:r>
      <w:r w:rsidR="00E51E7D">
        <w:rPr>
          <w:noProof/>
        </w:rPr>
        <w:t>Name of policy</w:t>
      </w:r>
      <w:r w:rsidR="00E51E7D">
        <w:rPr>
          <w:noProof/>
        </w:rPr>
        <w:tab/>
      </w:r>
      <w:r w:rsidR="00E51E7D">
        <w:rPr>
          <w:noProof/>
        </w:rPr>
        <w:fldChar w:fldCharType="begin"/>
      </w:r>
      <w:r w:rsidR="00E51E7D">
        <w:rPr>
          <w:noProof/>
        </w:rPr>
        <w:instrText xml:space="preserve"> PAGEREF _Toc84890420 \h </w:instrText>
      </w:r>
      <w:r w:rsidR="00E51E7D">
        <w:rPr>
          <w:noProof/>
        </w:rPr>
      </w:r>
      <w:r w:rsidR="00E51E7D">
        <w:rPr>
          <w:noProof/>
        </w:rPr>
        <w:fldChar w:fldCharType="separate"/>
      </w:r>
      <w:r w:rsidR="00E51E7D">
        <w:rPr>
          <w:noProof/>
        </w:rPr>
        <w:t>1</w:t>
      </w:r>
      <w:r w:rsidR="00E51E7D">
        <w:rPr>
          <w:noProof/>
        </w:rPr>
        <w:fldChar w:fldCharType="end"/>
      </w:r>
    </w:p>
    <w:p w14:paraId="09A95333" w14:textId="3963C5A3" w:rsidR="00E51E7D" w:rsidRDefault="00E51E7D">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Commencement</w:t>
      </w:r>
      <w:r>
        <w:rPr>
          <w:noProof/>
        </w:rPr>
        <w:tab/>
      </w:r>
      <w:r>
        <w:rPr>
          <w:noProof/>
        </w:rPr>
        <w:fldChar w:fldCharType="begin"/>
      </w:r>
      <w:r>
        <w:rPr>
          <w:noProof/>
        </w:rPr>
        <w:instrText xml:space="preserve"> PAGEREF _Toc84890421 \h </w:instrText>
      </w:r>
      <w:r>
        <w:rPr>
          <w:noProof/>
        </w:rPr>
      </w:r>
      <w:r>
        <w:rPr>
          <w:noProof/>
        </w:rPr>
        <w:fldChar w:fldCharType="separate"/>
      </w:r>
      <w:r>
        <w:rPr>
          <w:noProof/>
        </w:rPr>
        <w:t>1</w:t>
      </w:r>
      <w:r>
        <w:rPr>
          <w:noProof/>
        </w:rPr>
        <w:fldChar w:fldCharType="end"/>
      </w:r>
    </w:p>
    <w:p w14:paraId="3FE9854C" w14:textId="2F4FAC46" w:rsidR="00E51E7D" w:rsidRDefault="00E51E7D">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Policy is binding</w:t>
      </w:r>
      <w:r>
        <w:rPr>
          <w:noProof/>
        </w:rPr>
        <w:tab/>
      </w:r>
      <w:r>
        <w:rPr>
          <w:noProof/>
        </w:rPr>
        <w:fldChar w:fldCharType="begin"/>
      </w:r>
      <w:r>
        <w:rPr>
          <w:noProof/>
        </w:rPr>
        <w:instrText xml:space="preserve"> PAGEREF _Toc84890422 \h </w:instrText>
      </w:r>
      <w:r>
        <w:rPr>
          <w:noProof/>
        </w:rPr>
      </w:r>
      <w:r>
        <w:rPr>
          <w:noProof/>
        </w:rPr>
        <w:fldChar w:fldCharType="separate"/>
      </w:r>
      <w:r>
        <w:rPr>
          <w:noProof/>
        </w:rPr>
        <w:t>2</w:t>
      </w:r>
      <w:r>
        <w:rPr>
          <w:noProof/>
        </w:rPr>
        <w:fldChar w:fldCharType="end"/>
      </w:r>
    </w:p>
    <w:p w14:paraId="7CAB902B" w14:textId="31FAD2C9" w:rsidR="00E51E7D" w:rsidRDefault="00E51E7D">
      <w:pPr>
        <w:pStyle w:val="TOC2"/>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Statement of intent</w:t>
      </w:r>
      <w:r>
        <w:rPr>
          <w:noProof/>
        </w:rPr>
        <w:tab/>
      </w:r>
      <w:r>
        <w:rPr>
          <w:noProof/>
        </w:rPr>
        <w:fldChar w:fldCharType="begin"/>
      </w:r>
      <w:r>
        <w:rPr>
          <w:noProof/>
        </w:rPr>
        <w:instrText xml:space="preserve"> PAGEREF _Toc84890423 \h </w:instrText>
      </w:r>
      <w:r>
        <w:rPr>
          <w:noProof/>
        </w:rPr>
      </w:r>
      <w:r>
        <w:rPr>
          <w:noProof/>
        </w:rPr>
        <w:fldChar w:fldCharType="separate"/>
      </w:r>
      <w:r>
        <w:rPr>
          <w:noProof/>
        </w:rPr>
        <w:t>2</w:t>
      </w:r>
      <w:r>
        <w:rPr>
          <w:noProof/>
        </w:rPr>
        <w:fldChar w:fldCharType="end"/>
      </w:r>
    </w:p>
    <w:p w14:paraId="5CC6C079" w14:textId="74255CFF" w:rsidR="00E51E7D" w:rsidRDefault="00E51E7D">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Application</w:t>
      </w:r>
      <w:r>
        <w:rPr>
          <w:noProof/>
        </w:rPr>
        <w:tab/>
      </w:r>
      <w:r>
        <w:rPr>
          <w:noProof/>
        </w:rPr>
        <w:fldChar w:fldCharType="begin"/>
      </w:r>
      <w:r>
        <w:rPr>
          <w:noProof/>
        </w:rPr>
        <w:instrText xml:space="preserve"> PAGEREF _Toc84890424 \h </w:instrText>
      </w:r>
      <w:r>
        <w:rPr>
          <w:noProof/>
        </w:rPr>
      </w:r>
      <w:r>
        <w:rPr>
          <w:noProof/>
        </w:rPr>
        <w:fldChar w:fldCharType="separate"/>
      </w:r>
      <w:r>
        <w:rPr>
          <w:noProof/>
        </w:rPr>
        <w:t>2</w:t>
      </w:r>
      <w:r>
        <w:rPr>
          <w:noProof/>
        </w:rPr>
        <w:fldChar w:fldCharType="end"/>
      </w:r>
    </w:p>
    <w:p w14:paraId="4FD2CFBA" w14:textId="7E3E442E" w:rsidR="00E51E7D" w:rsidRDefault="00E51E7D">
      <w:pPr>
        <w:pStyle w:val="TOC2"/>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Definitions</w:t>
      </w:r>
      <w:r>
        <w:rPr>
          <w:noProof/>
        </w:rPr>
        <w:tab/>
      </w:r>
      <w:r>
        <w:rPr>
          <w:noProof/>
        </w:rPr>
        <w:fldChar w:fldCharType="begin"/>
      </w:r>
      <w:r>
        <w:rPr>
          <w:noProof/>
        </w:rPr>
        <w:instrText xml:space="preserve"> PAGEREF _Toc84890425 \h </w:instrText>
      </w:r>
      <w:r>
        <w:rPr>
          <w:noProof/>
        </w:rPr>
      </w:r>
      <w:r>
        <w:rPr>
          <w:noProof/>
        </w:rPr>
        <w:fldChar w:fldCharType="separate"/>
      </w:r>
      <w:r>
        <w:rPr>
          <w:noProof/>
        </w:rPr>
        <w:t>2</w:t>
      </w:r>
      <w:r>
        <w:rPr>
          <w:noProof/>
        </w:rPr>
        <w:fldChar w:fldCharType="end"/>
      </w:r>
    </w:p>
    <w:p w14:paraId="6577F061" w14:textId="387E7900" w:rsidR="00E51E7D" w:rsidRDefault="00E51E7D">
      <w:pPr>
        <w:pStyle w:val="TOC2"/>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Commitment to open access to University research</w:t>
      </w:r>
      <w:r>
        <w:rPr>
          <w:noProof/>
        </w:rPr>
        <w:tab/>
      </w:r>
      <w:r>
        <w:rPr>
          <w:noProof/>
        </w:rPr>
        <w:fldChar w:fldCharType="begin"/>
      </w:r>
      <w:r>
        <w:rPr>
          <w:noProof/>
        </w:rPr>
        <w:instrText xml:space="preserve"> PAGEREF _Toc84890426 \h </w:instrText>
      </w:r>
      <w:r>
        <w:rPr>
          <w:noProof/>
        </w:rPr>
      </w:r>
      <w:r>
        <w:rPr>
          <w:noProof/>
        </w:rPr>
        <w:fldChar w:fldCharType="separate"/>
      </w:r>
      <w:r>
        <w:rPr>
          <w:noProof/>
        </w:rPr>
        <w:t>4</w:t>
      </w:r>
      <w:r>
        <w:rPr>
          <w:noProof/>
        </w:rPr>
        <w:fldChar w:fldCharType="end"/>
      </w:r>
    </w:p>
    <w:p w14:paraId="454DA2F6" w14:textId="56571ACE" w:rsidR="00E51E7D" w:rsidRDefault="00E51E7D">
      <w:pPr>
        <w:pStyle w:val="TOC2"/>
        <w:rPr>
          <w:rFonts w:asciiTheme="minorHAnsi" w:eastAsiaTheme="minorEastAsia" w:hAnsiTheme="minorHAnsi" w:cstheme="minorBidi"/>
          <w:noProof/>
          <w:sz w:val="22"/>
        </w:rPr>
      </w:pPr>
      <w:r>
        <w:rPr>
          <w:noProof/>
        </w:rPr>
        <w:t>8</w:t>
      </w:r>
      <w:r>
        <w:rPr>
          <w:rFonts w:asciiTheme="minorHAnsi" w:eastAsiaTheme="minorEastAsia" w:hAnsiTheme="minorHAnsi" w:cstheme="minorBidi"/>
          <w:noProof/>
          <w:sz w:val="22"/>
        </w:rPr>
        <w:tab/>
      </w:r>
      <w:r>
        <w:rPr>
          <w:noProof/>
        </w:rPr>
        <w:t>Roles and responsibilities</w:t>
      </w:r>
      <w:r>
        <w:rPr>
          <w:noProof/>
        </w:rPr>
        <w:tab/>
      </w:r>
      <w:r>
        <w:rPr>
          <w:noProof/>
        </w:rPr>
        <w:fldChar w:fldCharType="begin"/>
      </w:r>
      <w:r>
        <w:rPr>
          <w:noProof/>
        </w:rPr>
        <w:instrText xml:space="preserve"> PAGEREF _Toc84890427 \h </w:instrText>
      </w:r>
      <w:r>
        <w:rPr>
          <w:noProof/>
        </w:rPr>
      </w:r>
      <w:r>
        <w:rPr>
          <w:noProof/>
        </w:rPr>
        <w:fldChar w:fldCharType="separate"/>
      </w:r>
      <w:r>
        <w:rPr>
          <w:noProof/>
        </w:rPr>
        <w:t>4</w:t>
      </w:r>
      <w:r>
        <w:rPr>
          <w:noProof/>
        </w:rPr>
        <w:fldChar w:fldCharType="end"/>
      </w:r>
    </w:p>
    <w:p w14:paraId="4E719C85" w14:textId="7874C36B" w:rsidR="00E51E7D" w:rsidRDefault="00E51E7D">
      <w:pPr>
        <w:pStyle w:val="TOC2"/>
        <w:rPr>
          <w:rFonts w:asciiTheme="minorHAnsi" w:eastAsiaTheme="minorEastAsia" w:hAnsiTheme="minorHAnsi" w:cstheme="minorBidi"/>
          <w:noProof/>
          <w:sz w:val="22"/>
        </w:rPr>
      </w:pPr>
      <w:r>
        <w:rPr>
          <w:noProof/>
        </w:rPr>
        <w:t>9</w:t>
      </w:r>
      <w:r>
        <w:rPr>
          <w:rFonts w:asciiTheme="minorHAnsi" w:eastAsiaTheme="minorEastAsia" w:hAnsiTheme="minorHAnsi" w:cstheme="minorBidi"/>
          <w:noProof/>
          <w:sz w:val="22"/>
        </w:rPr>
        <w:tab/>
      </w:r>
      <w:r>
        <w:rPr>
          <w:noProof/>
        </w:rPr>
        <w:t>Ownership of intellectual property</w:t>
      </w:r>
      <w:r>
        <w:rPr>
          <w:noProof/>
        </w:rPr>
        <w:tab/>
      </w:r>
      <w:r>
        <w:rPr>
          <w:noProof/>
        </w:rPr>
        <w:fldChar w:fldCharType="begin"/>
      </w:r>
      <w:r>
        <w:rPr>
          <w:noProof/>
        </w:rPr>
        <w:instrText xml:space="preserve"> PAGEREF _Toc84890428 \h </w:instrText>
      </w:r>
      <w:r>
        <w:rPr>
          <w:noProof/>
        </w:rPr>
      </w:r>
      <w:r>
        <w:rPr>
          <w:noProof/>
        </w:rPr>
        <w:fldChar w:fldCharType="separate"/>
      </w:r>
      <w:r>
        <w:rPr>
          <w:noProof/>
        </w:rPr>
        <w:t>5</w:t>
      </w:r>
      <w:r>
        <w:rPr>
          <w:noProof/>
        </w:rPr>
        <w:fldChar w:fldCharType="end"/>
      </w:r>
    </w:p>
    <w:p w14:paraId="778E7C65" w14:textId="078AB6C1" w:rsidR="00E51E7D" w:rsidRDefault="00E51E7D">
      <w:pPr>
        <w:pStyle w:val="TOC2"/>
        <w:rPr>
          <w:rFonts w:asciiTheme="minorHAnsi" w:eastAsiaTheme="minorEastAsia" w:hAnsiTheme="minorHAnsi" w:cstheme="minorBidi"/>
          <w:noProof/>
          <w:sz w:val="22"/>
        </w:rPr>
      </w:pPr>
      <w:r>
        <w:rPr>
          <w:noProof/>
        </w:rPr>
        <w:t>10</w:t>
      </w:r>
      <w:r>
        <w:rPr>
          <w:rFonts w:asciiTheme="minorHAnsi" w:eastAsiaTheme="minorEastAsia" w:hAnsiTheme="minorHAnsi" w:cstheme="minorBidi"/>
          <w:noProof/>
          <w:sz w:val="22"/>
        </w:rPr>
        <w:tab/>
      </w:r>
      <w:r>
        <w:rPr>
          <w:noProof/>
        </w:rPr>
        <w:t>Open access to scholarly works</w:t>
      </w:r>
      <w:r>
        <w:rPr>
          <w:noProof/>
        </w:rPr>
        <w:tab/>
      </w:r>
      <w:r>
        <w:rPr>
          <w:noProof/>
        </w:rPr>
        <w:fldChar w:fldCharType="begin"/>
      </w:r>
      <w:r>
        <w:rPr>
          <w:noProof/>
        </w:rPr>
        <w:instrText xml:space="preserve"> PAGEREF _Toc84890429 \h </w:instrText>
      </w:r>
      <w:r>
        <w:rPr>
          <w:noProof/>
        </w:rPr>
      </w:r>
      <w:r>
        <w:rPr>
          <w:noProof/>
        </w:rPr>
        <w:fldChar w:fldCharType="separate"/>
      </w:r>
      <w:r>
        <w:rPr>
          <w:noProof/>
        </w:rPr>
        <w:t>5</w:t>
      </w:r>
      <w:r>
        <w:rPr>
          <w:noProof/>
        </w:rPr>
        <w:fldChar w:fldCharType="end"/>
      </w:r>
    </w:p>
    <w:p w14:paraId="304725FB" w14:textId="471A24E5" w:rsidR="00E51E7D" w:rsidRDefault="00E51E7D">
      <w:pPr>
        <w:pStyle w:val="TOC2"/>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Open access to research data collections</w:t>
      </w:r>
      <w:r>
        <w:rPr>
          <w:noProof/>
        </w:rPr>
        <w:tab/>
      </w:r>
      <w:r>
        <w:rPr>
          <w:noProof/>
        </w:rPr>
        <w:fldChar w:fldCharType="begin"/>
      </w:r>
      <w:r>
        <w:rPr>
          <w:noProof/>
        </w:rPr>
        <w:instrText xml:space="preserve"> PAGEREF _Toc84890430 \h </w:instrText>
      </w:r>
      <w:r>
        <w:rPr>
          <w:noProof/>
        </w:rPr>
      </w:r>
      <w:r>
        <w:rPr>
          <w:noProof/>
        </w:rPr>
        <w:fldChar w:fldCharType="separate"/>
      </w:r>
      <w:r>
        <w:rPr>
          <w:noProof/>
        </w:rPr>
        <w:t>5</w:t>
      </w:r>
      <w:r>
        <w:rPr>
          <w:noProof/>
        </w:rPr>
        <w:fldChar w:fldCharType="end"/>
      </w:r>
    </w:p>
    <w:p w14:paraId="3488C841" w14:textId="78C69AE7" w:rsidR="00E51E7D" w:rsidRDefault="00E51E7D">
      <w:pPr>
        <w:pStyle w:val="TOC2"/>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Open access to higher degree by research theses</w:t>
      </w:r>
      <w:r>
        <w:rPr>
          <w:noProof/>
        </w:rPr>
        <w:tab/>
      </w:r>
      <w:r>
        <w:rPr>
          <w:noProof/>
        </w:rPr>
        <w:fldChar w:fldCharType="begin"/>
      </w:r>
      <w:r>
        <w:rPr>
          <w:noProof/>
        </w:rPr>
        <w:instrText xml:space="preserve"> PAGEREF _Toc84890431 \h </w:instrText>
      </w:r>
      <w:r>
        <w:rPr>
          <w:noProof/>
        </w:rPr>
      </w:r>
      <w:r>
        <w:rPr>
          <w:noProof/>
        </w:rPr>
        <w:fldChar w:fldCharType="separate"/>
      </w:r>
      <w:r>
        <w:rPr>
          <w:noProof/>
        </w:rPr>
        <w:t>5</w:t>
      </w:r>
      <w:r>
        <w:rPr>
          <w:noProof/>
        </w:rPr>
        <w:fldChar w:fldCharType="end"/>
      </w:r>
    </w:p>
    <w:p w14:paraId="42FBFC89" w14:textId="7E7736AF" w:rsidR="00E57E69" w:rsidRDefault="000C6711" w:rsidP="00E57E69">
      <w:pPr>
        <w:pStyle w:val="TOC1"/>
        <w:tabs>
          <w:tab w:val="left" w:pos="600"/>
          <w:tab w:val="left" w:pos="851"/>
        </w:tabs>
        <w:spacing w:before="0" w:after="0"/>
      </w:pPr>
      <w:r w:rsidRPr="009F1B83">
        <w:rPr>
          <w:rFonts w:cs="Arial"/>
          <w:sz w:val="18"/>
          <w:szCs w:val="18"/>
        </w:rPr>
        <w:fldChar w:fldCharType="end"/>
      </w:r>
    </w:p>
    <w:p w14:paraId="5813E331" w14:textId="77777777" w:rsidR="00E57E69" w:rsidRDefault="00E57E69" w:rsidP="00E57E69">
      <w:pPr>
        <w:pStyle w:val="Heading"/>
        <w:numPr>
          <w:ilvl w:val="0"/>
          <w:numId w:val="13"/>
        </w:numPr>
        <w:ind w:hanging="930"/>
        <w:outlineLvl w:val="0"/>
      </w:pPr>
      <w:bookmarkStart w:id="1" w:name="_Toc84890420"/>
      <w:r>
        <w:t>Name of policy</w:t>
      </w:r>
      <w:bookmarkEnd w:id="1"/>
    </w:p>
    <w:p w14:paraId="0DFFBD53" w14:textId="77777777" w:rsidR="00E57E69" w:rsidRDefault="00E57E69" w:rsidP="00E57E69">
      <w:pPr>
        <w:pStyle w:val="Text"/>
      </w:pPr>
      <w:r>
        <w:t xml:space="preserve">This is the </w:t>
      </w:r>
      <w:r w:rsidR="008A42A3">
        <w:t>Open Access to University Research Policy 201</w:t>
      </w:r>
      <w:r w:rsidR="00375B04">
        <w:t>4.</w:t>
      </w:r>
    </w:p>
    <w:p w14:paraId="270EC98F" w14:textId="77777777" w:rsidR="00E57E69" w:rsidRDefault="00E57E69" w:rsidP="00E57E69">
      <w:pPr>
        <w:pStyle w:val="Heading"/>
        <w:numPr>
          <w:ilvl w:val="0"/>
          <w:numId w:val="13"/>
        </w:numPr>
        <w:ind w:hanging="930"/>
        <w:outlineLvl w:val="0"/>
      </w:pPr>
      <w:bookmarkStart w:id="2" w:name="_Toc84890421"/>
      <w:r>
        <w:t>Commencement</w:t>
      </w:r>
      <w:bookmarkEnd w:id="2"/>
    </w:p>
    <w:p w14:paraId="7D573376" w14:textId="77777777" w:rsidR="00E57E69" w:rsidRDefault="008A42A3" w:rsidP="00E57E69">
      <w:pPr>
        <w:pStyle w:val="Text"/>
      </w:pPr>
      <w:r>
        <w:t xml:space="preserve">This policy commences on </w:t>
      </w:r>
      <w:r w:rsidR="00C6357D">
        <w:t>5 January 2015.</w:t>
      </w:r>
    </w:p>
    <w:p w14:paraId="155E1EC5" w14:textId="77777777" w:rsidR="00E57E69" w:rsidRDefault="00E57E69" w:rsidP="008E4719">
      <w:pPr>
        <w:pStyle w:val="Heading"/>
        <w:keepNext/>
        <w:keepLines/>
        <w:widowControl w:val="0"/>
        <w:numPr>
          <w:ilvl w:val="0"/>
          <w:numId w:val="13"/>
        </w:numPr>
        <w:ind w:hanging="930"/>
        <w:outlineLvl w:val="0"/>
      </w:pPr>
      <w:bookmarkStart w:id="3" w:name="_Toc84890422"/>
      <w:r>
        <w:lastRenderedPageBreak/>
        <w:t>Policy is binding</w:t>
      </w:r>
      <w:bookmarkEnd w:id="3"/>
    </w:p>
    <w:p w14:paraId="56CF2A6E" w14:textId="77777777" w:rsidR="00E57E69" w:rsidRDefault="00E57E69" w:rsidP="008E4719">
      <w:pPr>
        <w:pStyle w:val="Text"/>
        <w:keepNext/>
        <w:keepLines/>
        <w:widowControl w:val="0"/>
      </w:pPr>
      <w:r>
        <w:t>Except to the extent that a contrary intention is expressed, this policy binds the University, staff, students</w:t>
      </w:r>
      <w:r w:rsidR="00C4500D">
        <w:t xml:space="preserve"> and</w:t>
      </w:r>
      <w:r>
        <w:t xml:space="preserve"> affiliates.</w:t>
      </w:r>
    </w:p>
    <w:p w14:paraId="649BA702" w14:textId="77777777" w:rsidR="00E57E69" w:rsidRDefault="00E57E69" w:rsidP="00B00DF0">
      <w:pPr>
        <w:pStyle w:val="Heading"/>
        <w:keepNext/>
        <w:numPr>
          <w:ilvl w:val="0"/>
          <w:numId w:val="13"/>
        </w:numPr>
        <w:ind w:hanging="930"/>
        <w:outlineLvl w:val="0"/>
      </w:pPr>
      <w:bookmarkStart w:id="4" w:name="_Toc84890423"/>
      <w:r>
        <w:t>Statement of intent</w:t>
      </w:r>
      <w:bookmarkEnd w:id="4"/>
    </w:p>
    <w:p w14:paraId="4262EAE4" w14:textId="77777777" w:rsidR="008A42A3" w:rsidRDefault="008A42A3" w:rsidP="00B00DF0">
      <w:pPr>
        <w:pStyle w:val="Text"/>
        <w:keepNext/>
      </w:pPr>
      <w:r>
        <w:t xml:space="preserve">This policy: </w:t>
      </w:r>
    </w:p>
    <w:p w14:paraId="67DA0DA2" w14:textId="77777777" w:rsidR="008A42A3" w:rsidRDefault="00050D46" w:rsidP="00B00DF0">
      <w:pPr>
        <w:pStyle w:val="SecondLevel"/>
        <w:keepNext/>
        <w:tabs>
          <w:tab w:val="clear" w:pos="1854"/>
          <w:tab w:val="num" w:pos="1134"/>
        </w:tabs>
        <w:ind w:left="1134"/>
      </w:pPr>
      <w:r>
        <w:t>a</w:t>
      </w:r>
      <w:r w:rsidR="008A42A3">
        <w:t xml:space="preserve">rticulates the </w:t>
      </w:r>
      <w:r w:rsidR="0018215C">
        <w:t>University’s</w:t>
      </w:r>
      <w:r w:rsidR="008A42A3">
        <w:t xml:space="preserve"> commitment to the widest possible communication of its research</w:t>
      </w:r>
      <w:r w:rsidR="00BA6CAF">
        <w:t xml:space="preserve"> </w:t>
      </w:r>
      <w:r w:rsidR="00CD6B9D" w:rsidRPr="000F2A87">
        <w:t>including</w:t>
      </w:r>
      <w:r w:rsidR="00BA6CAF" w:rsidRPr="000F2A87">
        <w:t xml:space="preserve"> scholarly </w:t>
      </w:r>
      <w:r w:rsidR="00DB5452" w:rsidRPr="000F2A87">
        <w:t>works</w:t>
      </w:r>
      <w:r w:rsidR="003B1511" w:rsidRPr="000F2A87">
        <w:t xml:space="preserve"> </w:t>
      </w:r>
      <w:r w:rsidR="003B1511" w:rsidRPr="00037C84">
        <w:t>and data</w:t>
      </w:r>
      <w:r w:rsidR="008A42A3" w:rsidRPr="00037C84">
        <w:t>;</w:t>
      </w:r>
    </w:p>
    <w:p w14:paraId="3349F3C4" w14:textId="77777777" w:rsidR="00466193" w:rsidRPr="000F2A87" w:rsidRDefault="00466193" w:rsidP="00E3194B">
      <w:pPr>
        <w:pStyle w:val="SecondLevel"/>
        <w:tabs>
          <w:tab w:val="clear" w:pos="1854"/>
          <w:tab w:val="num" w:pos="1134"/>
        </w:tabs>
        <w:ind w:left="1134"/>
      </w:pPr>
      <w:r w:rsidRPr="000F2A87">
        <w:t xml:space="preserve">supports the University’s core values of engaged inquiry and mutual accountability by encouraging transparency, accountability, openness and </w:t>
      </w:r>
      <w:r w:rsidR="00DB5452" w:rsidRPr="000F2A87">
        <w:t xml:space="preserve">the </w:t>
      </w:r>
      <w:r w:rsidRPr="000F2A87">
        <w:t xml:space="preserve">sharing of scholarly </w:t>
      </w:r>
      <w:r w:rsidR="00DB5452" w:rsidRPr="000F2A87">
        <w:t xml:space="preserve">works </w:t>
      </w:r>
      <w:r w:rsidR="00C0142D">
        <w:t xml:space="preserve">and other research outputs </w:t>
      </w:r>
      <w:r w:rsidR="00DB5452" w:rsidRPr="000F2A87">
        <w:t>with the research community</w:t>
      </w:r>
      <w:r w:rsidR="00C0142D">
        <w:t xml:space="preserve"> and the public;</w:t>
      </w:r>
    </w:p>
    <w:p w14:paraId="37197FF8" w14:textId="2CD68BDD" w:rsidR="00FD1CA3" w:rsidRPr="000F2A87" w:rsidRDefault="00FD1CA3" w:rsidP="00E3194B">
      <w:pPr>
        <w:pStyle w:val="SecondLevel"/>
        <w:tabs>
          <w:tab w:val="clear" w:pos="1854"/>
          <w:tab w:val="num" w:pos="1134"/>
        </w:tabs>
        <w:ind w:left="1134"/>
      </w:pPr>
      <w:r>
        <w:t xml:space="preserve">supports the principles for publication and dissemination of research findings described by </w:t>
      </w:r>
      <w:r w:rsidR="00BE2802">
        <w:t xml:space="preserve">the </w:t>
      </w:r>
      <w:hyperlink r:id="rId8" w:history="1">
        <w:r w:rsidR="00156A3E" w:rsidRPr="00A56C16">
          <w:rPr>
            <w:rStyle w:val="Hyperlink"/>
            <w:i/>
            <w:iCs/>
          </w:rPr>
          <w:t>Research Code of Conduct 2023</w:t>
        </w:r>
      </w:hyperlink>
      <w:r w:rsidR="00156A3E">
        <w:t xml:space="preserve"> </w:t>
      </w:r>
      <w:r w:rsidR="00AE7962">
        <w:t xml:space="preserve">and </w:t>
      </w:r>
      <w:r>
        <w:t xml:space="preserve">the </w:t>
      </w:r>
      <w:hyperlink r:id="rId9" w:history="1">
        <w:r w:rsidRPr="00254513">
          <w:rPr>
            <w:rStyle w:val="Hyperlink"/>
            <w:i/>
          </w:rPr>
          <w:t xml:space="preserve">Australian Code for the Responsible Conduct of Research </w:t>
        </w:r>
        <w:r w:rsidR="005B7994" w:rsidRPr="00254513">
          <w:rPr>
            <w:rStyle w:val="Hyperlink"/>
            <w:i/>
          </w:rPr>
          <w:t>2018</w:t>
        </w:r>
        <w:r w:rsidRPr="00254513">
          <w:rPr>
            <w:rStyle w:val="Hyperlink"/>
          </w:rPr>
          <w:t>;</w:t>
        </w:r>
      </w:hyperlink>
      <w:r>
        <w:t xml:space="preserve"> and</w:t>
      </w:r>
    </w:p>
    <w:p w14:paraId="684F17CC" w14:textId="77777777" w:rsidR="001A737D" w:rsidRDefault="00C0142D" w:rsidP="00E3194B">
      <w:pPr>
        <w:pStyle w:val="SecondLevel"/>
        <w:tabs>
          <w:tab w:val="clear" w:pos="1854"/>
          <w:tab w:val="num" w:pos="1134"/>
        </w:tabs>
        <w:ind w:left="1134"/>
      </w:pPr>
      <w:r>
        <w:t>enables</w:t>
      </w:r>
      <w:r w:rsidR="00375B04">
        <w:t xml:space="preserve"> reporting </w:t>
      </w:r>
      <w:r w:rsidR="0057274E">
        <w:t>on University</w:t>
      </w:r>
      <w:r w:rsidR="001A737D" w:rsidRPr="000F2A87">
        <w:t xml:space="preserve"> compliance with</w:t>
      </w:r>
      <w:r>
        <w:t xml:space="preserve"> the</w:t>
      </w:r>
      <w:r w:rsidR="001A737D" w:rsidRPr="000F2A87">
        <w:t xml:space="preserve"> funding rules and </w:t>
      </w:r>
      <w:r>
        <w:t>dissemination of research findings</w:t>
      </w:r>
      <w:r w:rsidR="001A737D" w:rsidRPr="000F2A87">
        <w:t xml:space="preserve"> policies of the </w:t>
      </w:r>
      <w:r w:rsidR="0031264B">
        <w:t>Australian Research Council (</w:t>
      </w:r>
      <w:r w:rsidR="001A737D" w:rsidRPr="000F2A87">
        <w:t>ARC</w:t>
      </w:r>
      <w:r w:rsidR="0031264B">
        <w:t>)</w:t>
      </w:r>
      <w:r w:rsidR="001A737D" w:rsidRPr="000F2A87">
        <w:t xml:space="preserve">, </w:t>
      </w:r>
      <w:r w:rsidR="0031264B">
        <w:t>National Medical and Health Research Council (</w:t>
      </w:r>
      <w:r w:rsidR="001A737D" w:rsidRPr="000F2A87">
        <w:t>NHMRC</w:t>
      </w:r>
      <w:r w:rsidR="0031264B">
        <w:t>)</w:t>
      </w:r>
      <w:r w:rsidR="001A737D" w:rsidRPr="000F2A87">
        <w:t xml:space="preserve"> and other public and private research funding bodies</w:t>
      </w:r>
      <w:r w:rsidR="00FD1CA3">
        <w:t>.</w:t>
      </w:r>
    </w:p>
    <w:p w14:paraId="3D50CA9F" w14:textId="77777777" w:rsidR="00E57E69" w:rsidRDefault="00E57E69" w:rsidP="00E57E69">
      <w:pPr>
        <w:pStyle w:val="Heading"/>
        <w:numPr>
          <w:ilvl w:val="0"/>
          <w:numId w:val="13"/>
        </w:numPr>
        <w:ind w:hanging="930"/>
        <w:outlineLvl w:val="0"/>
      </w:pPr>
      <w:bookmarkStart w:id="5" w:name="_Toc84890424"/>
      <w:r>
        <w:t>Application</w:t>
      </w:r>
      <w:bookmarkEnd w:id="5"/>
    </w:p>
    <w:p w14:paraId="5F7A039C" w14:textId="77777777" w:rsidR="00E57E69" w:rsidRDefault="00E57E69" w:rsidP="00E57E69">
      <w:pPr>
        <w:pStyle w:val="Text"/>
      </w:pPr>
      <w:r>
        <w:t>This po</w:t>
      </w:r>
      <w:r w:rsidR="007F5FD8">
        <w:t xml:space="preserve">licy applies to the </w:t>
      </w:r>
      <w:r w:rsidR="0007583A">
        <w:t>University, staff, students</w:t>
      </w:r>
      <w:r w:rsidR="00C4500D">
        <w:t xml:space="preserve"> and </w:t>
      </w:r>
      <w:r w:rsidR="007F5FD8">
        <w:t>affiliates</w:t>
      </w:r>
      <w:r>
        <w:t>.</w:t>
      </w:r>
    </w:p>
    <w:p w14:paraId="66E96D4F" w14:textId="77777777" w:rsidR="00E57E69" w:rsidRDefault="00E57E69" w:rsidP="00E57E69">
      <w:pPr>
        <w:pStyle w:val="Heading"/>
        <w:numPr>
          <w:ilvl w:val="0"/>
          <w:numId w:val="13"/>
        </w:numPr>
        <w:ind w:hanging="930"/>
        <w:outlineLvl w:val="0"/>
      </w:pPr>
      <w:bookmarkStart w:id="6" w:name="_Toc84890425"/>
      <w:r>
        <w:t>Definitions</w:t>
      </w:r>
      <w:bookmarkEnd w:id="6"/>
    </w:p>
    <w:tbl>
      <w:tblPr>
        <w:tblW w:w="0" w:type="auto"/>
        <w:tblLook w:val="00A0" w:firstRow="1" w:lastRow="0" w:firstColumn="1" w:lastColumn="0" w:noHBand="0" w:noVBand="0"/>
      </w:tblPr>
      <w:tblGrid>
        <w:gridCol w:w="1788"/>
        <w:gridCol w:w="6148"/>
      </w:tblGrid>
      <w:tr w:rsidR="00C76FC3" w14:paraId="3AFB6663" w14:textId="77777777" w:rsidTr="001449F1">
        <w:trPr>
          <w:cantSplit/>
        </w:trPr>
        <w:tc>
          <w:tcPr>
            <w:tcW w:w="1809" w:type="dxa"/>
          </w:tcPr>
          <w:p w14:paraId="24135049" w14:textId="77777777" w:rsidR="00C76FC3" w:rsidRPr="00037C84" w:rsidRDefault="00EF31CD" w:rsidP="008A42A3">
            <w:pPr>
              <w:pStyle w:val="Text"/>
              <w:rPr>
                <w:b/>
              </w:rPr>
            </w:pPr>
            <w:r w:rsidRPr="00037C84">
              <w:rPr>
                <w:b/>
              </w:rPr>
              <w:t>a</w:t>
            </w:r>
            <w:r w:rsidR="00C76FC3" w:rsidRPr="00037C84">
              <w:rPr>
                <w:b/>
              </w:rPr>
              <w:t>ccepted manuscript</w:t>
            </w:r>
          </w:p>
        </w:tc>
        <w:tc>
          <w:tcPr>
            <w:tcW w:w="6343" w:type="dxa"/>
          </w:tcPr>
          <w:p w14:paraId="13FBB92B" w14:textId="77777777" w:rsidR="00C76FC3" w:rsidRPr="00037C84" w:rsidRDefault="003F5675" w:rsidP="002B4EA5">
            <w:pPr>
              <w:pStyle w:val="Text"/>
            </w:pPr>
            <w:r w:rsidRPr="00037C84">
              <w:t>m</w:t>
            </w:r>
            <w:r w:rsidR="009D62DE" w:rsidRPr="00037C84">
              <w:t>eans</w:t>
            </w:r>
            <w:r w:rsidRPr="00037C84">
              <w:t xml:space="preserve"> </w:t>
            </w:r>
            <w:r w:rsidR="004751E9" w:rsidRPr="00037C84">
              <w:t>the</w:t>
            </w:r>
            <w:r w:rsidR="009D62DE" w:rsidRPr="00037C84">
              <w:t xml:space="preserve"> version of a manuscript accepted for publication, following peer review and any subsequent </w:t>
            </w:r>
            <w:r w:rsidRPr="00037C84">
              <w:t>amendments</w:t>
            </w:r>
            <w:r w:rsidR="009D62DE" w:rsidRPr="00037C84">
              <w:t>. Also referred to</w:t>
            </w:r>
            <w:r w:rsidRPr="00037C84">
              <w:t xml:space="preserve"> as “post-print”</w:t>
            </w:r>
            <w:r w:rsidR="009D62DE" w:rsidRPr="00037C84">
              <w:t>.</w:t>
            </w:r>
          </w:p>
        </w:tc>
      </w:tr>
      <w:tr w:rsidR="00E57E69" w14:paraId="05B996CF" w14:textId="77777777" w:rsidTr="001449F1">
        <w:trPr>
          <w:cantSplit/>
        </w:trPr>
        <w:tc>
          <w:tcPr>
            <w:tcW w:w="1809" w:type="dxa"/>
          </w:tcPr>
          <w:p w14:paraId="5993AD8B" w14:textId="77777777" w:rsidR="00E57E69" w:rsidRPr="005F1996" w:rsidRDefault="00EF31CD" w:rsidP="008A42A3">
            <w:pPr>
              <w:pStyle w:val="Text"/>
              <w:rPr>
                <w:b/>
              </w:rPr>
            </w:pPr>
            <w:r>
              <w:rPr>
                <w:b/>
              </w:rPr>
              <w:t>a</w:t>
            </w:r>
            <w:r w:rsidR="007F5FD8">
              <w:rPr>
                <w:b/>
              </w:rPr>
              <w:t>ffiliate</w:t>
            </w:r>
          </w:p>
        </w:tc>
        <w:tc>
          <w:tcPr>
            <w:tcW w:w="6343" w:type="dxa"/>
          </w:tcPr>
          <w:p w14:paraId="11759593" w14:textId="4C81F3FF" w:rsidR="00B72766" w:rsidRPr="00B72766" w:rsidRDefault="00B72766" w:rsidP="00466193">
            <w:pPr>
              <w:pStyle w:val="Text"/>
            </w:pPr>
            <w:r>
              <w:t xml:space="preserve">has the meaning given in the </w:t>
            </w:r>
            <w:hyperlink r:id="rId10" w:history="1">
              <w:r w:rsidR="001449F1">
                <w:rPr>
                  <w:rStyle w:val="Hyperlink"/>
                  <w:i/>
                </w:rPr>
                <w:t>Staff</w:t>
              </w:r>
            </w:hyperlink>
            <w:r w:rsidR="001449F1">
              <w:rPr>
                <w:rStyle w:val="Hyperlink"/>
                <w:i/>
              </w:rPr>
              <w:t xml:space="preserve"> and Affiliates Code of Conduct 2021</w:t>
            </w:r>
            <w:r>
              <w:rPr>
                <w:i/>
              </w:rPr>
              <w:t xml:space="preserve">, </w:t>
            </w:r>
            <w:r>
              <w:t>which at the date of this policy is:</w:t>
            </w:r>
          </w:p>
          <w:p w14:paraId="5F317C74" w14:textId="77777777" w:rsidR="00E46FBC" w:rsidRPr="00A56C16" w:rsidRDefault="00E46FBC" w:rsidP="00E46FBC">
            <w:pPr>
              <w:pStyle w:val="Text"/>
              <w:rPr>
                <w:sz w:val="18"/>
                <w:szCs w:val="18"/>
              </w:rPr>
            </w:pPr>
            <w:r w:rsidRPr="00E46FBC">
              <w:rPr>
                <w:sz w:val="18"/>
                <w:szCs w:val="18"/>
              </w:rPr>
              <w:t>means a person appointed or engaged by the University to perform duties or functions on its behalf, including but not limited to:</w:t>
            </w:r>
          </w:p>
          <w:p w14:paraId="08804BE1" w14:textId="32E6E4E9" w:rsidR="00E46FBC" w:rsidRPr="00A56C16" w:rsidRDefault="00E46FBC" w:rsidP="00A56C16">
            <w:pPr>
              <w:pStyle w:val="textdotpoint"/>
              <w:rPr>
                <w:sz w:val="18"/>
                <w:szCs w:val="18"/>
              </w:rPr>
            </w:pPr>
            <w:r w:rsidRPr="00A56C16">
              <w:rPr>
                <w:sz w:val="18"/>
                <w:szCs w:val="18"/>
              </w:rPr>
              <w:t>an honorary title holder engaged under the Honorary Titles Policy 2013;</w:t>
            </w:r>
          </w:p>
          <w:p w14:paraId="3CEBB322" w14:textId="1AFB0C8F" w:rsidR="00E46FBC" w:rsidRPr="00A56C16" w:rsidRDefault="00E46FBC" w:rsidP="00A56C16">
            <w:pPr>
              <w:pStyle w:val="textdotpoint"/>
              <w:rPr>
                <w:sz w:val="18"/>
                <w:szCs w:val="18"/>
              </w:rPr>
            </w:pPr>
            <w:r w:rsidRPr="00A56C16">
              <w:rPr>
                <w:sz w:val="18"/>
                <w:szCs w:val="18"/>
              </w:rPr>
              <w:t>a consultant or contractor to the University; and</w:t>
            </w:r>
          </w:p>
          <w:p w14:paraId="3943E243" w14:textId="05279054" w:rsidR="00E46FBC" w:rsidRPr="00A56C16" w:rsidRDefault="00E46FBC" w:rsidP="00A56C16">
            <w:pPr>
              <w:pStyle w:val="textdotpoint"/>
              <w:rPr>
                <w:sz w:val="18"/>
                <w:szCs w:val="18"/>
              </w:rPr>
            </w:pPr>
            <w:r w:rsidRPr="00A56C16">
              <w:rPr>
                <w:sz w:val="18"/>
                <w:szCs w:val="18"/>
              </w:rPr>
              <w:t>an office holder in a University entity, a member of any University committee, board or foundation.</w:t>
            </w:r>
          </w:p>
          <w:p w14:paraId="2F2E0C4E" w14:textId="77777777" w:rsidR="00A56C16" w:rsidRDefault="00E46FBC" w:rsidP="00466193">
            <w:pPr>
              <w:pStyle w:val="Text"/>
              <w:rPr>
                <w:sz w:val="18"/>
                <w:szCs w:val="18"/>
              </w:rPr>
            </w:pPr>
            <w:r w:rsidRPr="00A56C16">
              <w:rPr>
                <w:sz w:val="18"/>
                <w:szCs w:val="18"/>
              </w:rPr>
              <w:t>An affiliate is not an employee of the University.</w:t>
            </w:r>
          </w:p>
          <w:p w14:paraId="4F72E49F" w14:textId="14242D8B" w:rsidR="00E57E69" w:rsidRPr="00B505D2" w:rsidRDefault="00466193" w:rsidP="00466193">
            <w:pPr>
              <w:pStyle w:val="Text"/>
            </w:pPr>
            <w:r w:rsidRPr="00A56C16">
              <w:rPr>
                <w:b/>
                <w:sz w:val="18"/>
                <w:szCs w:val="18"/>
              </w:rPr>
              <w:t>Note:</w:t>
            </w:r>
            <w:r w:rsidR="00A56C16">
              <w:rPr>
                <w:sz w:val="18"/>
                <w:szCs w:val="18"/>
              </w:rPr>
              <w:tab/>
            </w:r>
            <w:r w:rsidRPr="00A56C16">
              <w:rPr>
                <w:sz w:val="18"/>
                <w:szCs w:val="18"/>
              </w:rPr>
              <w:t xml:space="preserve">see also the </w:t>
            </w:r>
            <w:hyperlink r:id="rId11" w:history="1">
              <w:r w:rsidRPr="00A56C16">
                <w:rPr>
                  <w:rStyle w:val="Hyperlink"/>
                  <w:i/>
                  <w:sz w:val="18"/>
                  <w:szCs w:val="18"/>
                </w:rPr>
                <w:t>Affiliates Policy</w:t>
              </w:r>
            </w:hyperlink>
            <w:r w:rsidRPr="00A56C16">
              <w:rPr>
                <w:sz w:val="18"/>
                <w:szCs w:val="18"/>
              </w:rPr>
              <w:t>.</w:t>
            </w:r>
          </w:p>
        </w:tc>
      </w:tr>
      <w:tr w:rsidR="001B020D" w14:paraId="0F57BCFF" w14:textId="77777777" w:rsidTr="001449F1">
        <w:trPr>
          <w:cantSplit/>
        </w:trPr>
        <w:tc>
          <w:tcPr>
            <w:tcW w:w="1809" w:type="dxa"/>
          </w:tcPr>
          <w:p w14:paraId="3BDB3E05" w14:textId="77777777" w:rsidR="001B020D" w:rsidRPr="00DF7148" w:rsidRDefault="001B020D" w:rsidP="008A42A3">
            <w:pPr>
              <w:pStyle w:val="Text"/>
              <w:rPr>
                <w:b/>
              </w:rPr>
            </w:pPr>
            <w:r w:rsidRPr="00DF7148">
              <w:rPr>
                <w:b/>
              </w:rPr>
              <w:t>author</w:t>
            </w:r>
          </w:p>
        </w:tc>
        <w:tc>
          <w:tcPr>
            <w:tcW w:w="6343" w:type="dxa"/>
          </w:tcPr>
          <w:p w14:paraId="64E70FD8" w14:textId="77777777" w:rsidR="001B020D" w:rsidRPr="00DF7148" w:rsidRDefault="001B020D" w:rsidP="00C4500D">
            <w:pPr>
              <w:pStyle w:val="Text"/>
            </w:pPr>
            <w:r w:rsidRPr="00DF7148">
              <w:t xml:space="preserve">means a named contributor to a scholarly </w:t>
            </w:r>
            <w:r w:rsidR="00C4500D">
              <w:t>work</w:t>
            </w:r>
            <w:r w:rsidRPr="00DF7148">
              <w:t xml:space="preserve">, including </w:t>
            </w:r>
            <w:r w:rsidRPr="00B72766">
              <w:t>but not limited to</w:t>
            </w:r>
            <w:r w:rsidRPr="00DF7148">
              <w:t xml:space="preserve"> scholarly publication in a journal, conference proceedings or monograph.</w:t>
            </w:r>
          </w:p>
        </w:tc>
      </w:tr>
      <w:tr w:rsidR="00E75376" w14:paraId="11303C00" w14:textId="77777777" w:rsidTr="001449F1">
        <w:trPr>
          <w:cantSplit/>
        </w:trPr>
        <w:tc>
          <w:tcPr>
            <w:tcW w:w="1809" w:type="dxa"/>
          </w:tcPr>
          <w:p w14:paraId="33FA28DA" w14:textId="77777777" w:rsidR="00E75376" w:rsidRPr="006C54B6" w:rsidRDefault="00EF31CD" w:rsidP="008A42A3">
            <w:pPr>
              <w:pStyle w:val="Text"/>
              <w:rPr>
                <w:b/>
              </w:rPr>
            </w:pPr>
            <w:r>
              <w:rPr>
                <w:b/>
              </w:rPr>
              <w:lastRenderedPageBreak/>
              <w:t>c</w:t>
            </w:r>
            <w:r w:rsidR="00E75376" w:rsidRPr="006C54B6">
              <w:rPr>
                <w:b/>
              </w:rPr>
              <w:t>hief investigator</w:t>
            </w:r>
          </w:p>
        </w:tc>
        <w:tc>
          <w:tcPr>
            <w:tcW w:w="6343" w:type="dxa"/>
          </w:tcPr>
          <w:p w14:paraId="1EFDFF1A" w14:textId="77777777" w:rsidR="00E75376" w:rsidRPr="006C54B6" w:rsidRDefault="00E75376" w:rsidP="00814DF3">
            <w:pPr>
              <w:pStyle w:val="Text"/>
            </w:pPr>
            <w:r w:rsidRPr="006C54B6">
              <w:t>means the lead researcher on a research project.</w:t>
            </w:r>
          </w:p>
        </w:tc>
      </w:tr>
      <w:tr w:rsidR="00627100" w14:paraId="51BF176A" w14:textId="77777777" w:rsidTr="001449F1">
        <w:trPr>
          <w:cantSplit/>
        </w:trPr>
        <w:tc>
          <w:tcPr>
            <w:tcW w:w="1809" w:type="dxa"/>
          </w:tcPr>
          <w:p w14:paraId="027A7E48" w14:textId="77777777" w:rsidR="00627100" w:rsidRDefault="00627100" w:rsidP="008A42A3">
            <w:pPr>
              <w:pStyle w:val="Text"/>
              <w:rPr>
                <w:b/>
              </w:rPr>
            </w:pPr>
            <w:r>
              <w:rPr>
                <w:b/>
              </w:rPr>
              <w:t>ERA</w:t>
            </w:r>
          </w:p>
        </w:tc>
        <w:tc>
          <w:tcPr>
            <w:tcW w:w="6343" w:type="dxa"/>
          </w:tcPr>
          <w:p w14:paraId="304B3F10" w14:textId="77777777" w:rsidR="00627100" w:rsidRDefault="00814DF3" w:rsidP="00814DF3">
            <w:pPr>
              <w:pStyle w:val="Text"/>
            </w:pPr>
            <w:r w:rsidRPr="00EC3409">
              <w:t>m</w:t>
            </w:r>
            <w:r w:rsidR="00627100" w:rsidRPr="00EC3409">
              <w:t>eans</w:t>
            </w:r>
            <w:r w:rsidRPr="00EC3409">
              <w:t xml:space="preserve"> </w:t>
            </w:r>
            <w:r w:rsidRPr="00EC3409">
              <w:rPr>
                <w:i/>
              </w:rPr>
              <w:t>Excellence in Research for Australia</w:t>
            </w:r>
            <w:r w:rsidRPr="00EC3409">
              <w:t xml:space="preserve">. ERA is a federal government initiative, developed by the Australian Research Council (ARC) in cooperation with the National Health and Medical Research Council (NHMRC) to evaluate research quality within Australia’s higher education institutions. </w:t>
            </w:r>
          </w:p>
        </w:tc>
      </w:tr>
      <w:tr w:rsidR="00826E81" w14:paraId="755A5EE1" w14:textId="77777777" w:rsidTr="001449F1">
        <w:trPr>
          <w:cantSplit/>
        </w:trPr>
        <w:tc>
          <w:tcPr>
            <w:tcW w:w="1809" w:type="dxa"/>
          </w:tcPr>
          <w:p w14:paraId="2AF21CBE" w14:textId="77777777" w:rsidR="00826E81" w:rsidRDefault="00EF31CD" w:rsidP="00B00DF0">
            <w:pPr>
              <w:pStyle w:val="Text"/>
              <w:keepNext/>
              <w:keepLines/>
              <w:rPr>
                <w:b/>
              </w:rPr>
            </w:pPr>
            <w:r>
              <w:rPr>
                <w:b/>
              </w:rPr>
              <w:t>e</w:t>
            </w:r>
            <w:r w:rsidR="00826E81">
              <w:rPr>
                <w:b/>
              </w:rPr>
              <w:t>xternal access</w:t>
            </w:r>
            <w:r w:rsidR="00A92F39">
              <w:rPr>
                <w:b/>
              </w:rPr>
              <w:t xml:space="preserve"> repository</w:t>
            </w:r>
          </w:p>
        </w:tc>
        <w:tc>
          <w:tcPr>
            <w:tcW w:w="6343" w:type="dxa"/>
          </w:tcPr>
          <w:p w14:paraId="254579B2" w14:textId="77777777" w:rsidR="00826E81" w:rsidRDefault="00B72766" w:rsidP="00B00DF0">
            <w:pPr>
              <w:pStyle w:val="Text"/>
              <w:keepNext/>
              <w:keepLines/>
            </w:pPr>
            <w:r>
              <w:t>means</w:t>
            </w:r>
            <w:r w:rsidR="00A36AE0">
              <w:t xml:space="preserve"> </w:t>
            </w:r>
            <w:r w:rsidR="00A92F39">
              <w:t>a</w:t>
            </w:r>
            <w:r w:rsidR="00A36AE0">
              <w:t>n</w:t>
            </w:r>
            <w:r w:rsidR="00A92F39">
              <w:t xml:space="preserve"> institutional repository that is</w:t>
            </w:r>
            <w:r w:rsidR="00AA3471">
              <w:t xml:space="preserve"> accessible to</w:t>
            </w:r>
            <w:r w:rsidR="00826E81" w:rsidRPr="00AA3471">
              <w:t xml:space="preserve"> the public </w:t>
            </w:r>
            <w:r>
              <w:t>through</w:t>
            </w:r>
            <w:r w:rsidRPr="00AA3471">
              <w:t xml:space="preserve"> </w:t>
            </w:r>
            <w:r w:rsidR="00826E81" w:rsidRPr="00AA3471">
              <w:t>the internet.</w:t>
            </w:r>
            <w:r w:rsidR="00934A41">
              <w:t xml:space="preserve"> The University’s external access repository is managed by the University Library.</w:t>
            </w:r>
          </w:p>
        </w:tc>
      </w:tr>
      <w:tr w:rsidR="00826E81" w14:paraId="3CE1BFAA" w14:textId="77777777" w:rsidTr="001449F1">
        <w:trPr>
          <w:cantSplit/>
        </w:trPr>
        <w:tc>
          <w:tcPr>
            <w:tcW w:w="1809" w:type="dxa"/>
          </w:tcPr>
          <w:p w14:paraId="26F6C6F1" w14:textId="77777777" w:rsidR="00826E81" w:rsidRPr="00B505D2" w:rsidRDefault="00826E81" w:rsidP="008A42A3">
            <w:pPr>
              <w:pStyle w:val="Text"/>
              <w:rPr>
                <w:b/>
              </w:rPr>
            </w:pPr>
            <w:r>
              <w:rPr>
                <w:b/>
              </w:rPr>
              <w:t>HERDC</w:t>
            </w:r>
          </w:p>
        </w:tc>
        <w:tc>
          <w:tcPr>
            <w:tcW w:w="6343" w:type="dxa"/>
          </w:tcPr>
          <w:p w14:paraId="643ABFEC" w14:textId="77777777" w:rsidR="00826E81" w:rsidRDefault="00814DF3" w:rsidP="0057274E">
            <w:pPr>
              <w:pStyle w:val="Text"/>
            </w:pPr>
            <w:r w:rsidRPr="00EC3409">
              <w:t>m</w:t>
            </w:r>
            <w:r w:rsidR="00826E81" w:rsidRPr="00EC3409">
              <w:t>eans</w:t>
            </w:r>
            <w:r w:rsidRPr="00EC3409">
              <w:t xml:space="preserve"> </w:t>
            </w:r>
            <w:r w:rsidRPr="00EC3409">
              <w:rPr>
                <w:i/>
              </w:rPr>
              <w:t>Higher Education Research Data Collection</w:t>
            </w:r>
            <w:r w:rsidR="00C76FC3">
              <w:t xml:space="preserve">. HERDC is a </w:t>
            </w:r>
            <w:r w:rsidRPr="00EC3409">
              <w:t>collection</w:t>
            </w:r>
            <w:r w:rsidR="00C76FC3">
              <w:t xml:space="preserve"> of</w:t>
            </w:r>
            <w:r w:rsidRPr="00EC3409">
              <w:t xml:space="preserve"> research publication</w:t>
            </w:r>
            <w:r w:rsidR="00C76FC3">
              <w:t xml:space="preserve"> and income data </w:t>
            </w:r>
            <w:r w:rsidRPr="00EC3409">
              <w:t xml:space="preserve">submitted </w:t>
            </w:r>
            <w:r w:rsidR="00C76FC3">
              <w:t xml:space="preserve">annually </w:t>
            </w:r>
            <w:r w:rsidRPr="00EC3409">
              <w:t xml:space="preserve">by the </w:t>
            </w:r>
            <w:r w:rsidR="0057274E">
              <w:t>University to the Commonwealth Government.</w:t>
            </w:r>
            <w:r w:rsidRPr="00EC3409">
              <w:t xml:space="preserve"> </w:t>
            </w:r>
          </w:p>
        </w:tc>
      </w:tr>
      <w:tr w:rsidR="00C4500D" w14:paraId="73102CD6" w14:textId="77777777" w:rsidTr="001449F1">
        <w:trPr>
          <w:cantSplit/>
        </w:trPr>
        <w:tc>
          <w:tcPr>
            <w:tcW w:w="1809" w:type="dxa"/>
          </w:tcPr>
          <w:p w14:paraId="3B82AB0F" w14:textId="77777777" w:rsidR="00C4500D" w:rsidRDefault="00C4500D" w:rsidP="008A42A3">
            <w:pPr>
              <w:pStyle w:val="Text"/>
              <w:rPr>
                <w:b/>
              </w:rPr>
            </w:pPr>
            <w:r>
              <w:rPr>
                <w:b/>
              </w:rPr>
              <w:t>institutional repository</w:t>
            </w:r>
          </w:p>
        </w:tc>
        <w:tc>
          <w:tcPr>
            <w:tcW w:w="6343" w:type="dxa"/>
          </w:tcPr>
          <w:p w14:paraId="1EE9312C" w14:textId="77777777" w:rsidR="00C4500D" w:rsidRPr="00EC3409" w:rsidRDefault="00C4500D" w:rsidP="0057274E">
            <w:pPr>
              <w:pStyle w:val="Text"/>
            </w:pPr>
            <w:r>
              <w:t>means an online digital archive for collecting, preserving and disseminating the</w:t>
            </w:r>
            <w:r w:rsidRPr="00037C84">
              <w:t xml:space="preserve"> </w:t>
            </w:r>
            <w:r>
              <w:t>research</w:t>
            </w:r>
            <w:r w:rsidRPr="00037C84">
              <w:t xml:space="preserve"> </w:t>
            </w:r>
            <w:r>
              <w:t>output of an institution.</w:t>
            </w:r>
          </w:p>
        </w:tc>
      </w:tr>
      <w:tr w:rsidR="00E57E69" w14:paraId="546FA6EE" w14:textId="77777777" w:rsidTr="001449F1">
        <w:trPr>
          <w:cantSplit/>
        </w:trPr>
        <w:tc>
          <w:tcPr>
            <w:tcW w:w="1809" w:type="dxa"/>
          </w:tcPr>
          <w:p w14:paraId="4E95155D" w14:textId="77777777" w:rsidR="00E57E69" w:rsidRPr="00C905C0" w:rsidRDefault="00EF31CD" w:rsidP="008A42A3">
            <w:pPr>
              <w:pStyle w:val="Text"/>
              <w:rPr>
                <w:b/>
              </w:rPr>
            </w:pPr>
            <w:r w:rsidRPr="00C905C0">
              <w:rPr>
                <w:b/>
              </w:rPr>
              <w:t>i</w:t>
            </w:r>
            <w:r w:rsidR="00B505D2" w:rsidRPr="00C905C0">
              <w:rPr>
                <w:b/>
              </w:rPr>
              <w:t>ntellectual property</w:t>
            </w:r>
          </w:p>
        </w:tc>
        <w:tc>
          <w:tcPr>
            <w:tcW w:w="6343" w:type="dxa"/>
          </w:tcPr>
          <w:p w14:paraId="5AF6DCCC" w14:textId="35AA3E39" w:rsidR="00B72766" w:rsidRDefault="00B72766" w:rsidP="000919BC">
            <w:pPr>
              <w:pStyle w:val="Default"/>
              <w:rPr>
                <w:sz w:val="20"/>
                <w:szCs w:val="20"/>
              </w:rPr>
            </w:pPr>
            <w:r>
              <w:rPr>
                <w:sz w:val="20"/>
                <w:szCs w:val="20"/>
              </w:rPr>
              <w:t>has the meaning given to it in the</w:t>
            </w:r>
            <w:r w:rsidR="00A07F9F">
              <w:rPr>
                <w:sz w:val="20"/>
                <w:szCs w:val="20"/>
              </w:rPr>
              <w:t xml:space="preserve"> </w:t>
            </w:r>
            <w:hyperlink r:id="rId12" w:history="1">
              <w:r w:rsidR="00A07F9F" w:rsidRPr="00A07F9F">
                <w:rPr>
                  <w:rStyle w:val="Hyperlink"/>
                  <w:i/>
                  <w:sz w:val="20"/>
                  <w:szCs w:val="20"/>
                </w:rPr>
                <w:t>Intellectual Property Policy 2016</w:t>
              </w:r>
            </w:hyperlink>
            <w:r>
              <w:rPr>
                <w:i/>
                <w:iCs/>
                <w:sz w:val="20"/>
                <w:szCs w:val="20"/>
              </w:rPr>
              <w:t xml:space="preserve">. </w:t>
            </w:r>
            <w:r>
              <w:rPr>
                <w:sz w:val="20"/>
                <w:szCs w:val="20"/>
              </w:rPr>
              <w:br/>
            </w:r>
          </w:p>
          <w:p w14:paraId="1DB95702" w14:textId="77777777" w:rsidR="00EE390A" w:rsidRPr="00EE390A" w:rsidRDefault="00EE390A" w:rsidP="00EE390A">
            <w:pPr>
              <w:pStyle w:val="Default"/>
              <w:rPr>
                <w:sz w:val="18"/>
                <w:szCs w:val="18"/>
              </w:rPr>
            </w:pPr>
            <w:r w:rsidRPr="00EE390A">
              <w:rPr>
                <w:sz w:val="18"/>
                <w:szCs w:val="18"/>
              </w:rPr>
              <w:t>includes rights (including, without limitation, rights of registration or</w:t>
            </w:r>
          </w:p>
          <w:p w14:paraId="6A4BA40B" w14:textId="160AEFB3" w:rsidR="00EE390A" w:rsidRPr="00EE390A" w:rsidRDefault="00EE390A" w:rsidP="00EE390A">
            <w:pPr>
              <w:pStyle w:val="Default"/>
              <w:rPr>
                <w:sz w:val="18"/>
                <w:szCs w:val="18"/>
              </w:rPr>
            </w:pPr>
            <w:r w:rsidRPr="00EE390A">
              <w:rPr>
                <w:sz w:val="18"/>
                <w:szCs w:val="18"/>
              </w:rPr>
              <w:t>application for registration) relating to:</w:t>
            </w:r>
            <w:r>
              <w:rPr>
                <w:sz w:val="18"/>
                <w:szCs w:val="18"/>
              </w:rPr>
              <w:br/>
            </w:r>
          </w:p>
          <w:p w14:paraId="41079BCD" w14:textId="07B66E9A" w:rsidR="00EE390A" w:rsidRPr="00A07F9F" w:rsidRDefault="00EE390A" w:rsidP="00A07F9F">
            <w:pPr>
              <w:pStyle w:val="Default"/>
              <w:numPr>
                <w:ilvl w:val="0"/>
                <w:numId w:val="40"/>
              </w:numPr>
              <w:rPr>
                <w:sz w:val="18"/>
                <w:szCs w:val="18"/>
              </w:rPr>
            </w:pPr>
            <w:r w:rsidRPr="00EE390A">
              <w:rPr>
                <w:sz w:val="18"/>
                <w:szCs w:val="18"/>
              </w:rPr>
              <w:t>literary works (including computer programs), artistic, musical</w:t>
            </w:r>
            <w:r w:rsidR="00A07F9F">
              <w:rPr>
                <w:sz w:val="18"/>
                <w:szCs w:val="18"/>
              </w:rPr>
              <w:t xml:space="preserve"> </w:t>
            </w:r>
            <w:r w:rsidRPr="00A07F9F">
              <w:rPr>
                <w:sz w:val="18"/>
                <w:szCs w:val="18"/>
              </w:rPr>
              <w:t>and scientific works;</w:t>
            </w:r>
          </w:p>
          <w:p w14:paraId="5BF0DB9E" w14:textId="59DE8378" w:rsidR="00EE390A" w:rsidRPr="00EE390A" w:rsidRDefault="00EE390A" w:rsidP="00EE390A">
            <w:pPr>
              <w:pStyle w:val="Default"/>
              <w:numPr>
                <w:ilvl w:val="0"/>
                <w:numId w:val="40"/>
              </w:numPr>
              <w:rPr>
                <w:sz w:val="18"/>
                <w:szCs w:val="18"/>
              </w:rPr>
            </w:pPr>
            <w:r w:rsidRPr="00EE390A">
              <w:rPr>
                <w:sz w:val="18"/>
                <w:szCs w:val="18"/>
              </w:rPr>
              <w:t>multimedia subject matter;</w:t>
            </w:r>
          </w:p>
          <w:p w14:paraId="7E5DF30E" w14:textId="77777777" w:rsidR="00EE390A" w:rsidRDefault="00EE390A" w:rsidP="00EE390A">
            <w:pPr>
              <w:pStyle w:val="Default"/>
              <w:numPr>
                <w:ilvl w:val="0"/>
                <w:numId w:val="40"/>
              </w:numPr>
              <w:rPr>
                <w:sz w:val="18"/>
                <w:szCs w:val="18"/>
              </w:rPr>
            </w:pPr>
            <w:r w:rsidRPr="00EE390A">
              <w:rPr>
                <w:sz w:val="18"/>
                <w:szCs w:val="18"/>
              </w:rPr>
              <w:t>performances of performing artists, phonograms and broadcasts;</w:t>
            </w:r>
          </w:p>
          <w:p w14:paraId="4A1614FF" w14:textId="75426322" w:rsidR="00EE390A" w:rsidRPr="00EE390A" w:rsidRDefault="00EE390A" w:rsidP="00EE390A">
            <w:pPr>
              <w:pStyle w:val="Default"/>
              <w:numPr>
                <w:ilvl w:val="0"/>
                <w:numId w:val="40"/>
              </w:numPr>
              <w:rPr>
                <w:sz w:val="18"/>
                <w:szCs w:val="18"/>
              </w:rPr>
            </w:pPr>
            <w:r w:rsidRPr="00EE390A">
              <w:rPr>
                <w:sz w:val="18"/>
                <w:szCs w:val="18"/>
              </w:rPr>
              <w:t>inventions in all fields of human endeavour;</w:t>
            </w:r>
          </w:p>
          <w:p w14:paraId="4C3052C1" w14:textId="0EE203B8" w:rsidR="00EE390A" w:rsidRPr="00EE390A" w:rsidRDefault="00EE390A" w:rsidP="00EE390A">
            <w:pPr>
              <w:pStyle w:val="Default"/>
              <w:numPr>
                <w:ilvl w:val="0"/>
                <w:numId w:val="40"/>
              </w:numPr>
              <w:rPr>
                <w:sz w:val="18"/>
                <w:szCs w:val="18"/>
              </w:rPr>
            </w:pPr>
            <w:r w:rsidRPr="00EE390A">
              <w:rPr>
                <w:sz w:val="18"/>
                <w:szCs w:val="18"/>
              </w:rPr>
              <w:t>scientific discoveries;</w:t>
            </w:r>
          </w:p>
          <w:p w14:paraId="74E380F7" w14:textId="0FB560C5" w:rsidR="00EE390A" w:rsidRPr="00EE390A" w:rsidRDefault="00EE390A" w:rsidP="00EE390A">
            <w:pPr>
              <w:pStyle w:val="Default"/>
              <w:numPr>
                <w:ilvl w:val="0"/>
                <w:numId w:val="40"/>
              </w:numPr>
              <w:rPr>
                <w:sz w:val="18"/>
                <w:szCs w:val="18"/>
              </w:rPr>
            </w:pPr>
            <w:r w:rsidRPr="00EE390A">
              <w:rPr>
                <w:sz w:val="18"/>
                <w:szCs w:val="18"/>
              </w:rPr>
              <w:t>industrial designs;</w:t>
            </w:r>
          </w:p>
          <w:p w14:paraId="21D0FD79" w14:textId="13F4D693" w:rsidR="00EE390A" w:rsidRPr="00A07F9F" w:rsidRDefault="00EE390A" w:rsidP="00A07F9F">
            <w:pPr>
              <w:pStyle w:val="Default"/>
              <w:numPr>
                <w:ilvl w:val="0"/>
                <w:numId w:val="40"/>
              </w:numPr>
              <w:rPr>
                <w:sz w:val="18"/>
                <w:szCs w:val="18"/>
              </w:rPr>
            </w:pPr>
            <w:r w:rsidRPr="00EE390A">
              <w:rPr>
                <w:sz w:val="18"/>
                <w:szCs w:val="18"/>
              </w:rPr>
              <w:t>trade marks, service marks and commercial names and</w:t>
            </w:r>
            <w:r w:rsidR="00A07F9F">
              <w:rPr>
                <w:sz w:val="18"/>
                <w:szCs w:val="18"/>
              </w:rPr>
              <w:t xml:space="preserve"> </w:t>
            </w:r>
            <w:r w:rsidRPr="00A07F9F">
              <w:rPr>
                <w:sz w:val="18"/>
                <w:szCs w:val="18"/>
              </w:rPr>
              <w:t>designations;</w:t>
            </w:r>
          </w:p>
          <w:p w14:paraId="6998C28D" w14:textId="1BF5633B" w:rsidR="00EE390A" w:rsidRPr="00EE390A" w:rsidRDefault="00EE390A" w:rsidP="00EE390A">
            <w:pPr>
              <w:pStyle w:val="Default"/>
              <w:numPr>
                <w:ilvl w:val="0"/>
                <w:numId w:val="40"/>
              </w:numPr>
              <w:rPr>
                <w:sz w:val="18"/>
                <w:szCs w:val="18"/>
              </w:rPr>
            </w:pPr>
            <w:r w:rsidRPr="00EE390A">
              <w:rPr>
                <w:sz w:val="18"/>
                <w:szCs w:val="18"/>
              </w:rPr>
              <w:t>plant varieties;</w:t>
            </w:r>
          </w:p>
          <w:p w14:paraId="246C92E3" w14:textId="2FEC8788" w:rsidR="00EE390A" w:rsidRDefault="00EE390A" w:rsidP="00EE390A">
            <w:pPr>
              <w:pStyle w:val="Default"/>
              <w:numPr>
                <w:ilvl w:val="0"/>
                <w:numId w:val="40"/>
              </w:numPr>
              <w:rPr>
                <w:sz w:val="18"/>
                <w:szCs w:val="18"/>
              </w:rPr>
            </w:pPr>
            <w:r w:rsidRPr="00EE390A">
              <w:rPr>
                <w:sz w:val="18"/>
                <w:szCs w:val="18"/>
              </w:rPr>
              <w:t>circuit layouts.</w:t>
            </w:r>
          </w:p>
          <w:p w14:paraId="2494B5B1" w14:textId="77777777" w:rsidR="00EE390A" w:rsidRPr="00EE390A" w:rsidRDefault="00EE390A" w:rsidP="00EE390A">
            <w:pPr>
              <w:pStyle w:val="Default"/>
              <w:rPr>
                <w:sz w:val="18"/>
                <w:szCs w:val="18"/>
              </w:rPr>
            </w:pPr>
          </w:p>
          <w:p w14:paraId="19D1E6EC" w14:textId="77777777" w:rsidR="000C0EDC" w:rsidRDefault="00EE390A" w:rsidP="00EE390A">
            <w:pPr>
              <w:pStyle w:val="Default"/>
              <w:rPr>
                <w:sz w:val="18"/>
                <w:szCs w:val="18"/>
              </w:rPr>
            </w:pPr>
            <w:r w:rsidRPr="00EE390A">
              <w:rPr>
                <w:sz w:val="18"/>
                <w:szCs w:val="18"/>
              </w:rPr>
              <w:t>It does not include any moral right.</w:t>
            </w:r>
          </w:p>
          <w:p w14:paraId="21F87A11" w14:textId="744BC503" w:rsidR="00EE390A" w:rsidRPr="00C905C0" w:rsidRDefault="00EE390A" w:rsidP="00EE390A">
            <w:pPr>
              <w:pStyle w:val="Default"/>
            </w:pPr>
          </w:p>
        </w:tc>
      </w:tr>
      <w:tr w:rsidR="00A13AF0" w14:paraId="2F738573" w14:textId="77777777" w:rsidTr="001449F1">
        <w:trPr>
          <w:cantSplit/>
        </w:trPr>
        <w:tc>
          <w:tcPr>
            <w:tcW w:w="1809" w:type="dxa"/>
          </w:tcPr>
          <w:p w14:paraId="5A63E09C" w14:textId="77777777" w:rsidR="00A13AF0" w:rsidRDefault="00A13AF0" w:rsidP="00286C02">
            <w:pPr>
              <w:pStyle w:val="Text"/>
              <w:rPr>
                <w:b/>
              </w:rPr>
            </w:pPr>
            <w:r>
              <w:rPr>
                <w:b/>
              </w:rPr>
              <w:t>metadata</w:t>
            </w:r>
          </w:p>
        </w:tc>
        <w:tc>
          <w:tcPr>
            <w:tcW w:w="6343" w:type="dxa"/>
          </w:tcPr>
          <w:p w14:paraId="44ACACF1" w14:textId="77777777" w:rsidR="00A13AF0" w:rsidRDefault="00A13AF0" w:rsidP="00A36AE0">
            <w:pPr>
              <w:pStyle w:val="Text"/>
            </w:pPr>
            <w:r>
              <w:t>means structured or schematised information about the attribu</w:t>
            </w:r>
            <w:r w:rsidR="007826BF">
              <w:t xml:space="preserve">tes of an item or collection </w:t>
            </w:r>
            <w:r>
              <w:t>that enables that item or collection to be identified, retrieved and managed over time</w:t>
            </w:r>
            <w:r w:rsidR="00334B5A">
              <w:t>.</w:t>
            </w:r>
          </w:p>
        </w:tc>
      </w:tr>
      <w:tr w:rsidR="00826E81" w14:paraId="5BD81D92" w14:textId="77777777" w:rsidTr="001449F1">
        <w:trPr>
          <w:cantSplit/>
        </w:trPr>
        <w:tc>
          <w:tcPr>
            <w:tcW w:w="1809" w:type="dxa"/>
          </w:tcPr>
          <w:p w14:paraId="7DD355D4" w14:textId="77777777" w:rsidR="00826E81" w:rsidRPr="00B505D2" w:rsidRDefault="00EF31CD" w:rsidP="008A42A3">
            <w:pPr>
              <w:pStyle w:val="Text"/>
              <w:rPr>
                <w:b/>
              </w:rPr>
            </w:pPr>
            <w:r>
              <w:rPr>
                <w:b/>
              </w:rPr>
              <w:t>o</w:t>
            </w:r>
            <w:r w:rsidR="00826E81">
              <w:rPr>
                <w:b/>
              </w:rPr>
              <w:t>pen access</w:t>
            </w:r>
          </w:p>
        </w:tc>
        <w:tc>
          <w:tcPr>
            <w:tcW w:w="6343" w:type="dxa"/>
          </w:tcPr>
          <w:p w14:paraId="2F90AA0A" w14:textId="77777777" w:rsidR="00A84E8C" w:rsidRPr="00B505D2" w:rsidRDefault="00BA6CAF" w:rsidP="00CB1DDC">
            <w:pPr>
              <w:pStyle w:val="Text"/>
            </w:pPr>
            <w:r>
              <w:t xml:space="preserve">in the context of this policy means permanent and free online access to the </w:t>
            </w:r>
            <w:r w:rsidR="00CB1DDC">
              <w:t>public</w:t>
            </w:r>
            <w:r w:rsidR="000E7B8E">
              <w:t>.</w:t>
            </w:r>
          </w:p>
        </w:tc>
      </w:tr>
      <w:tr w:rsidR="0057274E" w14:paraId="23F012A5" w14:textId="77777777" w:rsidTr="001449F1">
        <w:trPr>
          <w:cantSplit/>
        </w:trPr>
        <w:tc>
          <w:tcPr>
            <w:tcW w:w="1809" w:type="dxa"/>
          </w:tcPr>
          <w:p w14:paraId="0CF33F03" w14:textId="77777777" w:rsidR="0057274E" w:rsidRDefault="0057274E" w:rsidP="008A42A3">
            <w:pPr>
              <w:pStyle w:val="Text"/>
              <w:rPr>
                <w:b/>
              </w:rPr>
            </w:pPr>
            <w:r>
              <w:rPr>
                <w:b/>
              </w:rPr>
              <w:t>post-print</w:t>
            </w:r>
          </w:p>
        </w:tc>
        <w:tc>
          <w:tcPr>
            <w:tcW w:w="6343" w:type="dxa"/>
          </w:tcPr>
          <w:p w14:paraId="6AC508D0" w14:textId="77777777" w:rsidR="0057274E" w:rsidRDefault="00334B5A" w:rsidP="00334B5A">
            <w:pPr>
              <w:pStyle w:val="Text"/>
            </w:pPr>
            <w:r>
              <w:t xml:space="preserve">means </w:t>
            </w:r>
            <w:r w:rsidR="0057274E">
              <w:t>accepted manuscript.</w:t>
            </w:r>
          </w:p>
        </w:tc>
      </w:tr>
      <w:tr w:rsidR="003F5675" w14:paraId="62620B63" w14:textId="77777777" w:rsidTr="001449F1">
        <w:trPr>
          <w:cantSplit/>
        </w:trPr>
        <w:tc>
          <w:tcPr>
            <w:tcW w:w="1809" w:type="dxa"/>
          </w:tcPr>
          <w:p w14:paraId="4C07F9D0" w14:textId="77777777" w:rsidR="003F5675" w:rsidRDefault="00EF31CD" w:rsidP="008A42A3">
            <w:pPr>
              <w:pStyle w:val="Text"/>
              <w:rPr>
                <w:b/>
              </w:rPr>
            </w:pPr>
            <w:r>
              <w:rPr>
                <w:b/>
              </w:rPr>
              <w:t>p</w:t>
            </w:r>
            <w:r w:rsidR="003F5675">
              <w:rPr>
                <w:b/>
              </w:rPr>
              <w:t>ublisher’s version</w:t>
            </w:r>
          </w:p>
        </w:tc>
        <w:tc>
          <w:tcPr>
            <w:tcW w:w="6343" w:type="dxa"/>
          </w:tcPr>
          <w:p w14:paraId="69079167" w14:textId="77777777" w:rsidR="003F5675" w:rsidRPr="00826E81" w:rsidRDefault="003F5675" w:rsidP="00770C0E">
            <w:pPr>
              <w:pStyle w:val="Text"/>
            </w:pPr>
            <w:r>
              <w:t xml:space="preserve">means the published </w:t>
            </w:r>
            <w:r w:rsidR="00770C0E">
              <w:t>version</w:t>
            </w:r>
            <w:r>
              <w:t xml:space="preserve"> of a peer reviewed journal article including final pagination, formatting and publisher’s branding. </w:t>
            </w:r>
          </w:p>
        </w:tc>
      </w:tr>
      <w:tr w:rsidR="00826E81" w14:paraId="7CF0F411" w14:textId="77777777" w:rsidTr="001449F1">
        <w:trPr>
          <w:cantSplit/>
        </w:trPr>
        <w:tc>
          <w:tcPr>
            <w:tcW w:w="1809" w:type="dxa"/>
          </w:tcPr>
          <w:p w14:paraId="665BAF2D" w14:textId="77777777" w:rsidR="00826E81" w:rsidRPr="00B505D2" w:rsidRDefault="00EF31CD" w:rsidP="008A42A3">
            <w:pPr>
              <w:pStyle w:val="Text"/>
              <w:rPr>
                <w:b/>
              </w:rPr>
            </w:pPr>
            <w:r>
              <w:rPr>
                <w:b/>
              </w:rPr>
              <w:t>r</w:t>
            </w:r>
            <w:r w:rsidR="00826E81">
              <w:rPr>
                <w:b/>
              </w:rPr>
              <w:t>esearch</w:t>
            </w:r>
          </w:p>
        </w:tc>
        <w:tc>
          <w:tcPr>
            <w:tcW w:w="6343" w:type="dxa"/>
          </w:tcPr>
          <w:p w14:paraId="665C45DC" w14:textId="77777777" w:rsidR="00826E81" w:rsidRPr="00B505D2" w:rsidRDefault="00826E81" w:rsidP="008A42A3">
            <w:pPr>
              <w:pStyle w:val="Text"/>
            </w:pPr>
            <w:r w:rsidRPr="00826E81">
              <w:t>means</w:t>
            </w:r>
            <w:r w:rsidR="001D153B">
              <w:t xml:space="preserve"> </w:t>
            </w:r>
            <w:r w:rsidRPr="00826E81">
              <w:t>investigation undertaken to gain or advance knowledge, understanding and insight. It does not include routine testing and routine analysis of materials, components or processes or the development of teaching materials and similar work.</w:t>
            </w:r>
          </w:p>
        </w:tc>
      </w:tr>
      <w:tr w:rsidR="00B505D2" w14:paraId="7CA2401D" w14:textId="77777777" w:rsidTr="001449F1">
        <w:trPr>
          <w:cantSplit/>
        </w:trPr>
        <w:tc>
          <w:tcPr>
            <w:tcW w:w="1809" w:type="dxa"/>
          </w:tcPr>
          <w:p w14:paraId="42D026A3" w14:textId="77777777" w:rsidR="00B505D2" w:rsidRPr="00B505D2" w:rsidRDefault="00EF31CD" w:rsidP="008A42A3">
            <w:pPr>
              <w:pStyle w:val="Text"/>
              <w:rPr>
                <w:b/>
              </w:rPr>
            </w:pPr>
            <w:r>
              <w:rPr>
                <w:b/>
              </w:rPr>
              <w:t>r</w:t>
            </w:r>
            <w:r w:rsidR="00826E81">
              <w:rPr>
                <w:b/>
              </w:rPr>
              <w:t>esearcher</w:t>
            </w:r>
          </w:p>
        </w:tc>
        <w:tc>
          <w:tcPr>
            <w:tcW w:w="6343" w:type="dxa"/>
          </w:tcPr>
          <w:p w14:paraId="46671BCC" w14:textId="77777777" w:rsidR="00B505D2" w:rsidRPr="00B505D2" w:rsidRDefault="00826E81" w:rsidP="008A42A3">
            <w:pPr>
              <w:pStyle w:val="Text"/>
            </w:pPr>
            <w:r w:rsidRPr="00826E81">
              <w:t>means any staff member, student or affiliate engaged in research.</w:t>
            </w:r>
          </w:p>
        </w:tc>
      </w:tr>
      <w:tr w:rsidR="0025334F" w14:paraId="6143B848" w14:textId="77777777" w:rsidTr="001449F1">
        <w:trPr>
          <w:cantSplit/>
        </w:trPr>
        <w:tc>
          <w:tcPr>
            <w:tcW w:w="1809" w:type="dxa"/>
          </w:tcPr>
          <w:p w14:paraId="7782A506" w14:textId="77777777" w:rsidR="0025334F" w:rsidRPr="00DF7148" w:rsidRDefault="0025334F" w:rsidP="005A0D2F">
            <w:pPr>
              <w:pStyle w:val="Text"/>
              <w:rPr>
                <w:b/>
              </w:rPr>
            </w:pPr>
            <w:r w:rsidRPr="00DF7148">
              <w:rPr>
                <w:b/>
              </w:rPr>
              <w:lastRenderedPageBreak/>
              <w:t>research student</w:t>
            </w:r>
          </w:p>
        </w:tc>
        <w:tc>
          <w:tcPr>
            <w:tcW w:w="6343" w:type="dxa"/>
          </w:tcPr>
          <w:p w14:paraId="6A01C732" w14:textId="77777777" w:rsidR="0025334F" w:rsidRPr="00DF7148" w:rsidRDefault="0025334F" w:rsidP="005A0D2F">
            <w:pPr>
              <w:pStyle w:val="Text"/>
            </w:pPr>
            <w:r w:rsidRPr="00DF7148">
              <w:t xml:space="preserve">means a person who is currently admitted to candidature in a higher degree by research award course at the University, as specified in the </w:t>
            </w:r>
            <w:hyperlink r:id="rId13" w:history="1">
              <w:r w:rsidRPr="00DF7148">
                <w:rPr>
                  <w:rStyle w:val="Hyperlink"/>
                  <w:i/>
                </w:rPr>
                <w:t>University of Sydney (Higher Degree by Research) Rule 2011(as amended)</w:t>
              </w:r>
            </w:hyperlink>
            <w:r w:rsidRPr="00DF7148">
              <w:t>. It does not include a person admitted to candidature in a coursework award course.</w:t>
            </w:r>
          </w:p>
        </w:tc>
      </w:tr>
      <w:tr w:rsidR="006A7110" w14:paraId="22542C48" w14:textId="77777777" w:rsidTr="001449F1">
        <w:trPr>
          <w:cantSplit/>
        </w:trPr>
        <w:tc>
          <w:tcPr>
            <w:tcW w:w="1809" w:type="dxa"/>
          </w:tcPr>
          <w:p w14:paraId="7E018A4E" w14:textId="77777777" w:rsidR="006A7110" w:rsidRPr="00DF7148" w:rsidRDefault="006A7110" w:rsidP="006A7110">
            <w:pPr>
              <w:pStyle w:val="Text"/>
              <w:rPr>
                <w:b/>
              </w:rPr>
            </w:pPr>
            <w:r w:rsidRPr="00DF7148">
              <w:rPr>
                <w:b/>
              </w:rPr>
              <w:t>scholarly work</w:t>
            </w:r>
          </w:p>
        </w:tc>
        <w:tc>
          <w:tcPr>
            <w:tcW w:w="6343" w:type="dxa"/>
          </w:tcPr>
          <w:p w14:paraId="1C23BE9C" w14:textId="77777777" w:rsidR="006A7110" w:rsidRPr="00DF7148" w:rsidRDefault="00334B5A" w:rsidP="00C4500D">
            <w:pPr>
              <w:pStyle w:val="Text"/>
            </w:pPr>
            <w:r>
              <w:t xml:space="preserve">means a work intended for academic publication (e.g. article, book, manuscript or manual regardless of format).  </w:t>
            </w:r>
          </w:p>
        </w:tc>
      </w:tr>
      <w:tr w:rsidR="005948F1" w14:paraId="29B53F6A" w14:textId="77777777" w:rsidTr="001449F1">
        <w:trPr>
          <w:cantSplit/>
        </w:trPr>
        <w:tc>
          <w:tcPr>
            <w:tcW w:w="1809" w:type="dxa"/>
          </w:tcPr>
          <w:p w14:paraId="1233962F" w14:textId="77777777" w:rsidR="005948F1" w:rsidRPr="006474E2" w:rsidRDefault="005948F1" w:rsidP="006A7110">
            <w:pPr>
              <w:pStyle w:val="Text"/>
              <w:rPr>
                <w:b/>
              </w:rPr>
            </w:pPr>
            <w:r w:rsidRPr="006474E2">
              <w:rPr>
                <w:b/>
              </w:rPr>
              <w:t>student</w:t>
            </w:r>
          </w:p>
        </w:tc>
        <w:tc>
          <w:tcPr>
            <w:tcW w:w="6343" w:type="dxa"/>
          </w:tcPr>
          <w:p w14:paraId="60153C40" w14:textId="77777777" w:rsidR="005948F1" w:rsidRPr="006474E2" w:rsidRDefault="005948F1" w:rsidP="006A7110">
            <w:pPr>
              <w:pStyle w:val="Text"/>
            </w:pPr>
            <w:r w:rsidRPr="006474E2">
              <w:t>means a person currently admitted to candidature in an award course at the University.</w:t>
            </w:r>
          </w:p>
        </w:tc>
      </w:tr>
      <w:tr w:rsidR="000C0EDC" w14:paraId="3CB983EA" w14:textId="77777777" w:rsidTr="001449F1">
        <w:trPr>
          <w:cantSplit/>
        </w:trPr>
        <w:tc>
          <w:tcPr>
            <w:tcW w:w="1809" w:type="dxa"/>
          </w:tcPr>
          <w:p w14:paraId="294E8905" w14:textId="77777777" w:rsidR="000C0EDC" w:rsidRPr="006474E2" w:rsidRDefault="000C0EDC" w:rsidP="006A7110">
            <w:pPr>
              <w:pStyle w:val="Text"/>
              <w:rPr>
                <w:b/>
              </w:rPr>
            </w:pPr>
            <w:r>
              <w:rPr>
                <w:b/>
              </w:rPr>
              <w:t>supervisor</w:t>
            </w:r>
          </w:p>
        </w:tc>
        <w:tc>
          <w:tcPr>
            <w:tcW w:w="6343" w:type="dxa"/>
          </w:tcPr>
          <w:p w14:paraId="44EB518B" w14:textId="73D3E352" w:rsidR="000C0EDC" w:rsidRDefault="000C0EDC" w:rsidP="000C0EDC">
            <w:pPr>
              <w:pStyle w:val="Text"/>
            </w:pPr>
            <w:r>
              <w:t xml:space="preserve">has the meaning given to it in the </w:t>
            </w:r>
            <w:hyperlink r:id="rId14" w:history="1">
              <w:r w:rsidR="000952FD" w:rsidRPr="00A56C16">
                <w:rPr>
                  <w:rStyle w:val="Hyperlink"/>
                  <w:i/>
                  <w:iCs/>
                </w:rPr>
                <w:t>Higher Degree by Research Supervision Policy 2020</w:t>
              </w:r>
            </w:hyperlink>
            <w:r w:rsidR="000952FD">
              <w:t xml:space="preserve">. </w:t>
            </w:r>
            <w:r>
              <w:t>As at the date of this policy, that is:</w:t>
            </w:r>
          </w:p>
          <w:p w14:paraId="12A41B57" w14:textId="22C4C6FD" w:rsidR="000C0EDC" w:rsidRPr="006474E2" w:rsidRDefault="00024EE5" w:rsidP="00A56C16">
            <w:pPr>
              <w:pStyle w:val="Default"/>
              <w:ind w:left="720"/>
            </w:pPr>
            <w:r w:rsidRPr="00024EE5">
              <w:rPr>
                <w:sz w:val="18"/>
                <w:szCs w:val="18"/>
              </w:rPr>
              <w:t>means, in relation to a higher degree by research student, a person appointed to discharge the responsibilities set out in clauses 13 and 15.</w:t>
            </w:r>
            <w:r w:rsidR="00A56C16">
              <w:rPr>
                <w:sz w:val="18"/>
                <w:szCs w:val="18"/>
              </w:rPr>
              <w:br/>
            </w:r>
            <w:r w:rsidRPr="00024EE5">
              <w:rPr>
                <w:sz w:val="18"/>
                <w:szCs w:val="18"/>
              </w:rPr>
              <w:t xml:space="preserve">  </w:t>
            </w:r>
          </w:p>
        </w:tc>
      </w:tr>
    </w:tbl>
    <w:p w14:paraId="34068166" w14:textId="77777777" w:rsidR="00464647" w:rsidRDefault="005D4963" w:rsidP="0023596B">
      <w:pPr>
        <w:pStyle w:val="Heading"/>
        <w:keepNext/>
        <w:numPr>
          <w:ilvl w:val="0"/>
          <w:numId w:val="13"/>
        </w:numPr>
        <w:ind w:hanging="930"/>
        <w:outlineLvl w:val="0"/>
      </w:pPr>
      <w:bookmarkStart w:id="7" w:name="_Toc84890426"/>
      <w:r>
        <w:t xml:space="preserve">Commitment to open </w:t>
      </w:r>
      <w:r w:rsidR="005F358F">
        <w:t>access to University research</w:t>
      </w:r>
      <w:bookmarkEnd w:id="7"/>
    </w:p>
    <w:p w14:paraId="789EF447" w14:textId="77777777" w:rsidR="005F358F" w:rsidRDefault="008209B4" w:rsidP="00E3194B">
      <w:pPr>
        <w:pStyle w:val="FirstLevel"/>
        <w:numPr>
          <w:ilvl w:val="1"/>
          <w:numId w:val="14"/>
        </w:numPr>
        <w:tabs>
          <w:tab w:val="clear" w:pos="1287"/>
          <w:tab w:val="num" w:pos="567"/>
        </w:tabs>
        <w:ind w:left="567"/>
      </w:pPr>
      <w:r>
        <w:t>The University is committed to enabling</w:t>
      </w:r>
      <w:r w:rsidR="00D011E8">
        <w:t xml:space="preserve"> open access to its </w:t>
      </w:r>
      <w:r w:rsidR="00704421">
        <w:t xml:space="preserve">scholarly output, including </w:t>
      </w:r>
      <w:r>
        <w:t>research publications</w:t>
      </w:r>
      <w:r w:rsidR="00D011E8">
        <w:t xml:space="preserve"> and </w:t>
      </w:r>
      <w:r w:rsidR="003B1511">
        <w:t>research data collections</w:t>
      </w:r>
      <w:r w:rsidR="00D011E8">
        <w:t>.</w:t>
      </w:r>
    </w:p>
    <w:p w14:paraId="050E39EA" w14:textId="77777777" w:rsidR="003F118F" w:rsidRDefault="003F118F" w:rsidP="00E3194B">
      <w:pPr>
        <w:pStyle w:val="FirstLevel"/>
        <w:numPr>
          <w:ilvl w:val="1"/>
          <w:numId w:val="14"/>
        </w:numPr>
        <w:tabs>
          <w:tab w:val="clear" w:pos="1287"/>
          <w:tab w:val="num" w:pos="567"/>
        </w:tabs>
        <w:ind w:left="567"/>
      </w:pPr>
      <w:r w:rsidRPr="00050D46">
        <w:t>The University supports</w:t>
      </w:r>
      <w:r w:rsidR="00280A18">
        <w:t xml:space="preserve"> the</w:t>
      </w:r>
      <w:r w:rsidRPr="00050D46">
        <w:t xml:space="preserve"> </w:t>
      </w:r>
      <w:r w:rsidR="00A84E8C" w:rsidRPr="00050D46">
        <w:t>initiatives of</w:t>
      </w:r>
      <w:r w:rsidRPr="00050D46">
        <w:t xml:space="preserve"> major funding agencies to make</w:t>
      </w:r>
      <w:r w:rsidR="00BD06B8">
        <w:t xml:space="preserve"> </w:t>
      </w:r>
      <w:r w:rsidR="006474E2" w:rsidRPr="00CF65EA">
        <w:t xml:space="preserve">publicly </w:t>
      </w:r>
      <w:r w:rsidR="000E3E31" w:rsidRPr="00CF65EA">
        <w:t>funded scholarly works</w:t>
      </w:r>
      <w:r w:rsidR="00D12C77">
        <w:t xml:space="preserve"> </w:t>
      </w:r>
      <w:r w:rsidRPr="00050D46">
        <w:t xml:space="preserve">available to </w:t>
      </w:r>
      <w:r w:rsidR="00156596" w:rsidRPr="00050D46">
        <w:t xml:space="preserve">other researchers and to </w:t>
      </w:r>
      <w:r w:rsidRPr="00050D46">
        <w:t xml:space="preserve">the </w:t>
      </w:r>
      <w:r w:rsidR="00A84E8C" w:rsidRPr="00050D46">
        <w:t>public</w:t>
      </w:r>
      <w:r w:rsidRPr="00050D46">
        <w:t xml:space="preserve">, in </w:t>
      </w:r>
      <w:r w:rsidR="00156596" w:rsidRPr="00050D46">
        <w:t>the most</w:t>
      </w:r>
      <w:r w:rsidRPr="00050D46">
        <w:t xml:space="preserve"> effective manner and at the earliest opportunity.</w:t>
      </w:r>
    </w:p>
    <w:p w14:paraId="0DD06BB3" w14:textId="77777777" w:rsidR="00A83A5F" w:rsidRDefault="00A83A5F" w:rsidP="00A83A5F">
      <w:pPr>
        <w:pStyle w:val="Heading"/>
      </w:pPr>
      <w:bookmarkStart w:id="8" w:name="_Toc84890427"/>
      <w:r>
        <w:t>8</w:t>
      </w:r>
      <w:r>
        <w:tab/>
        <w:t>R</w:t>
      </w:r>
      <w:r w:rsidR="00763FFD">
        <w:t>oles and r</w:t>
      </w:r>
      <w:r>
        <w:t>esponsibilities</w:t>
      </w:r>
      <w:bookmarkEnd w:id="8"/>
    </w:p>
    <w:p w14:paraId="0FC07385" w14:textId="77777777" w:rsidR="00A943A0" w:rsidRPr="00CF65EA" w:rsidRDefault="00A943A0" w:rsidP="00E3194B">
      <w:pPr>
        <w:pStyle w:val="FirstLevel"/>
        <w:numPr>
          <w:ilvl w:val="1"/>
          <w:numId w:val="34"/>
        </w:numPr>
        <w:tabs>
          <w:tab w:val="clear" w:pos="1287"/>
          <w:tab w:val="num" w:pos="567"/>
        </w:tabs>
        <w:ind w:left="567"/>
      </w:pPr>
      <w:r w:rsidRPr="00CF65EA">
        <w:t>The University will:</w:t>
      </w:r>
    </w:p>
    <w:p w14:paraId="651C5F59" w14:textId="77777777" w:rsidR="00A943A0" w:rsidRPr="00CF65EA" w:rsidRDefault="00A943A0" w:rsidP="00E3194B">
      <w:pPr>
        <w:pStyle w:val="SecondLevel"/>
        <w:numPr>
          <w:ilvl w:val="2"/>
          <w:numId w:val="14"/>
        </w:numPr>
        <w:tabs>
          <w:tab w:val="clear" w:pos="1854"/>
          <w:tab w:val="num" w:pos="1134"/>
        </w:tabs>
        <w:ind w:left="1134"/>
      </w:pPr>
      <w:r w:rsidRPr="00CF65EA">
        <w:t xml:space="preserve">provide and maintain open publishing platforms and </w:t>
      </w:r>
      <w:r w:rsidR="00C72E74" w:rsidRPr="00CF65EA">
        <w:t xml:space="preserve">institutional </w:t>
      </w:r>
      <w:r w:rsidRPr="00CF65EA">
        <w:t xml:space="preserve">repositories to facilitate the open communication of scholarly </w:t>
      </w:r>
      <w:r w:rsidR="0093211B">
        <w:t>publications</w:t>
      </w:r>
      <w:r w:rsidR="00A348BF">
        <w:t>,</w:t>
      </w:r>
      <w:r w:rsidR="0093211B">
        <w:t xml:space="preserve"> data</w:t>
      </w:r>
      <w:r w:rsidR="00627328">
        <w:t xml:space="preserve"> and associated metadata</w:t>
      </w:r>
      <w:r w:rsidR="0093211B">
        <w:t>; and</w:t>
      </w:r>
      <w:r w:rsidRPr="00CF65EA">
        <w:t xml:space="preserve"> </w:t>
      </w:r>
    </w:p>
    <w:p w14:paraId="0C82D5B7" w14:textId="77777777" w:rsidR="00A943A0" w:rsidRDefault="005D4963" w:rsidP="00E3194B">
      <w:pPr>
        <w:pStyle w:val="SecondLevel"/>
        <w:numPr>
          <w:ilvl w:val="2"/>
          <w:numId w:val="14"/>
        </w:numPr>
        <w:tabs>
          <w:tab w:val="clear" w:pos="1854"/>
          <w:tab w:val="num" w:pos="1134"/>
        </w:tabs>
        <w:ind w:left="1134"/>
      </w:pPr>
      <w:r>
        <w:t>provide</w:t>
      </w:r>
      <w:r w:rsidR="00A943A0" w:rsidRPr="00CF65EA">
        <w:t xml:space="preserve"> advisory services and administrative support to researchers through the Library, I</w:t>
      </w:r>
      <w:r w:rsidR="00A77FA2">
        <w:t xml:space="preserve">nformation and </w:t>
      </w:r>
      <w:r w:rsidR="00A943A0" w:rsidRPr="00CF65EA">
        <w:t>C</w:t>
      </w:r>
      <w:r w:rsidR="00A77FA2">
        <w:t xml:space="preserve">ommunications </w:t>
      </w:r>
      <w:r w:rsidR="00A943A0" w:rsidRPr="00CF65EA">
        <w:t>T</w:t>
      </w:r>
      <w:r w:rsidR="00A77FA2">
        <w:t>echnology unit</w:t>
      </w:r>
      <w:r w:rsidR="00A943A0" w:rsidRPr="00CF65EA">
        <w:t xml:space="preserve"> and </w:t>
      </w:r>
      <w:r w:rsidR="00214E8A" w:rsidRPr="00CF65EA">
        <w:t xml:space="preserve">the </w:t>
      </w:r>
      <w:r w:rsidR="00A943A0" w:rsidRPr="00CF65EA">
        <w:t>Office of the Deputy Vice Chancellor (Research</w:t>
      </w:r>
      <w:r w:rsidR="00214E8A" w:rsidRPr="00CF65EA">
        <w:t>).</w:t>
      </w:r>
    </w:p>
    <w:p w14:paraId="124D950A" w14:textId="77777777" w:rsidR="00A83A5F" w:rsidRDefault="00A83A5F" w:rsidP="00E3194B">
      <w:pPr>
        <w:pStyle w:val="FirstLevel"/>
        <w:tabs>
          <w:tab w:val="clear" w:pos="1287"/>
          <w:tab w:val="num" w:pos="567"/>
        </w:tabs>
      </w:pPr>
      <w:r w:rsidRPr="00A83A5F">
        <w:t>All University researchers</w:t>
      </w:r>
      <w:r>
        <w:t>:</w:t>
      </w:r>
    </w:p>
    <w:p w14:paraId="455B6604" w14:textId="77777777" w:rsidR="00A83A5F" w:rsidRPr="00A83A5F" w:rsidRDefault="000C0EDC" w:rsidP="00A0649C">
      <w:pPr>
        <w:pStyle w:val="SecondLevel"/>
        <w:tabs>
          <w:tab w:val="clear" w:pos="1854"/>
          <w:tab w:val="num" w:pos="1080"/>
        </w:tabs>
        <w:ind w:left="1080" w:hanging="540"/>
      </w:pPr>
      <w:r>
        <w:t>a</w:t>
      </w:r>
      <w:r w:rsidR="00F12139" w:rsidRPr="00F12139">
        <w:t>re responsible for the submission of the publishers’ version of all published scholarly works to the Office of the Deputy Vice- Chancellor (Research) in an appropriate format (such as PDF);</w:t>
      </w:r>
      <w:r w:rsidR="00586FFA">
        <w:t xml:space="preserve"> </w:t>
      </w:r>
      <w:r w:rsidR="00A83A5F">
        <w:t>and</w:t>
      </w:r>
    </w:p>
    <w:p w14:paraId="5E6588EF" w14:textId="77777777" w:rsidR="00A83A5F" w:rsidRDefault="000C7C2C" w:rsidP="00E3194B">
      <w:pPr>
        <w:pStyle w:val="SecondLevel"/>
        <w:tabs>
          <w:tab w:val="clear" w:pos="1854"/>
          <w:tab w:val="num" w:pos="1134"/>
        </w:tabs>
        <w:ind w:left="1134"/>
      </w:pPr>
      <w:r>
        <w:t>a</w:t>
      </w:r>
      <w:r w:rsidRPr="00F12139">
        <w:t>re responsible for the submission of</w:t>
      </w:r>
      <w:r w:rsidR="00A83A5F">
        <w:t xml:space="preserve"> manuscript versions of journal articles and other scholarly works directly to the University’s external access repository</w:t>
      </w:r>
      <w:r w:rsidR="006A2C49">
        <w:t>, which is managed by the University Library</w:t>
      </w:r>
      <w:r w:rsidR="00A83A5F">
        <w:t>.</w:t>
      </w:r>
    </w:p>
    <w:p w14:paraId="78431EB9" w14:textId="6867B8EA" w:rsidR="007261CD" w:rsidRDefault="007261CD" w:rsidP="00B859A0">
      <w:pPr>
        <w:pStyle w:val="Notes"/>
        <w:ind w:left="2154" w:hanging="1020"/>
      </w:pPr>
      <w:r w:rsidRPr="00586FFA">
        <w:rPr>
          <w:b/>
        </w:rPr>
        <w:t>Note:</w:t>
      </w:r>
      <w:r>
        <w:t xml:space="preserve"> </w:t>
      </w:r>
      <w:r w:rsidR="00B859A0">
        <w:tab/>
        <w:t>Contact</w:t>
      </w:r>
      <w:r w:rsidR="00EE390A">
        <w:t xml:space="preserve"> Sydney Scholarship for information</w:t>
      </w:r>
      <w:r>
        <w:t xml:space="preserve"> </w:t>
      </w:r>
      <w:r w:rsidR="00B859A0">
        <w:t>regarding</w:t>
      </w:r>
      <w:r>
        <w:t xml:space="preserve"> whether </w:t>
      </w:r>
      <w:r w:rsidR="000C0EDC">
        <w:t>a</w:t>
      </w:r>
      <w:r>
        <w:t xml:space="preserve"> </w:t>
      </w:r>
      <w:r w:rsidR="0047502C">
        <w:t xml:space="preserve">journal </w:t>
      </w:r>
      <w:r>
        <w:t xml:space="preserve">manuscript or </w:t>
      </w:r>
      <w:r w:rsidR="0047502C">
        <w:t xml:space="preserve">other </w:t>
      </w:r>
      <w:r>
        <w:t>scholarly work can be made available open access</w:t>
      </w:r>
      <w:r w:rsidR="00B859A0">
        <w:t xml:space="preserve">: </w:t>
      </w:r>
      <w:hyperlink r:id="rId15" w:history="1">
        <w:r w:rsidR="000C4C91">
          <w:rPr>
            <w:rStyle w:val="Hyperlink"/>
          </w:rPr>
          <w:t>https://www.library.sydney.edu.au/support/publishing/open-access</w:t>
        </w:r>
      </w:hyperlink>
      <w:r w:rsidR="00EE390A">
        <w:t xml:space="preserve"> </w:t>
      </w:r>
    </w:p>
    <w:p w14:paraId="41FEA09C" w14:textId="77777777" w:rsidR="00A807B6" w:rsidRPr="00CF65EA" w:rsidRDefault="002E162F" w:rsidP="008E4719">
      <w:pPr>
        <w:pStyle w:val="Heading"/>
        <w:keepNext/>
        <w:keepLines/>
        <w:widowControl w:val="0"/>
        <w:numPr>
          <w:ilvl w:val="0"/>
          <w:numId w:val="33"/>
        </w:numPr>
        <w:ind w:hanging="930"/>
        <w:outlineLvl w:val="0"/>
      </w:pPr>
      <w:bookmarkStart w:id="9" w:name="_Toc84890428"/>
      <w:r w:rsidRPr="00CF65EA">
        <w:lastRenderedPageBreak/>
        <w:t>Ownership of intellectual</w:t>
      </w:r>
      <w:r w:rsidR="00A807B6" w:rsidRPr="00CF65EA">
        <w:t xml:space="preserve"> property</w:t>
      </w:r>
      <w:bookmarkEnd w:id="9"/>
    </w:p>
    <w:p w14:paraId="60644ED2" w14:textId="5601E7D2" w:rsidR="00A807B6" w:rsidRDefault="00A807B6" w:rsidP="008E4719">
      <w:pPr>
        <w:pStyle w:val="FirstLevel"/>
        <w:keepNext/>
        <w:keepLines/>
        <w:widowControl w:val="0"/>
        <w:numPr>
          <w:ilvl w:val="1"/>
          <w:numId w:val="39"/>
        </w:numPr>
        <w:tabs>
          <w:tab w:val="clear" w:pos="1287"/>
        </w:tabs>
        <w:ind w:left="540" w:hanging="540"/>
      </w:pPr>
      <w:r w:rsidRPr="00B51B15">
        <w:t>The</w:t>
      </w:r>
      <w:r w:rsidRPr="00CF65EA">
        <w:t xml:space="preserve"> ownership of intellectual property </w:t>
      </w:r>
      <w:r w:rsidR="00986D5C">
        <w:t>in scholarly works</w:t>
      </w:r>
      <w:r w:rsidR="00CA762C">
        <w:t xml:space="preserve"> </w:t>
      </w:r>
      <w:r w:rsidR="00C4500D">
        <w:t>is as provided in</w:t>
      </w:r>
      <w:r w:rsidRPr="00CF65EA">
        <w:t xml:space="preserve"> the </w:t>
      </w:r>
      <w:hyperlink r:id="rId16" w:history="1">
        <w:r w:rsidR="00A07F9F" w:rsidRPr="00A07F9F">
          <w:rPr>
            <w:rStyle w:val="Hyperlink"/>
            <w:i/>
          </w:rPr>
          <w:t>Intellectual Property Policy 2016</w:t>
        </w:r>
      </w:hyperlink>
      <w:r w:rsidR="00A07F9F">
        <w:rPr>
          <w:i/>
        </w:rPr>
        <w:t xml:space="preserve"> </w:t>
      </w:r>
      <w:r w:rsidRPr="00CF65EA">
        <w:t>as amended from time to time</w:t>
      </w:r>
      <w:r w:rsidR="00B13F60">
        <w:t>.</w:t>
      </w:r>
    </w:p>
    <w:p w14:paraId="0330B971" w14:textId="77777777" w:rsidR="00010C57" w:rsidRDefault="00010C57" w:rsidP="008E4719">
      <w:pPr>
        <w:pStyle w:val="FirstLevel"/>
        <w:keepNext/>
        <w:keepLines/>
        <w:widowControl w:val="0"/>
        <w:numPr>
          <w:ilvl w:val="1"/>
          <w:numId w:val="39"/>
        </w:numPr>
        <w:tabs>
          <w:tab w:val="clear" w:pos="1287"/>
        </w:tabs>
        <w:ind w:left="540" w:hanging="540"/>
      </w:pPr>
      <w:r>
        <w:t>Authors should, wherever possible, avoid granting any exc</w:t>
      </w:r>
      <w:r w:rsidR="0000385A">
        <w:t>lusive licence to the copyright</w:t>
      </w:r>
      <w:r>
        <w:t xml:space="preserve"> in their scholarly works to any other person or organisation without </w:t>
      </w:r>
      <w:r w:rsidR="001A30E2">
        <w:t xml:space="preserve">at the same time </w:t>
      </w:r>
      <w:r>
        <w:t>retaining the right to use and publish the work no later than 12 months after the date of initial publication (and authorise others to do the same).</w:t>
      </w:r>
    </w:p>
    <w:p w14:paraId="7F46CDC8" w14:textId="6E2DEAB5" w:rsidR="002566E0" w:rsidRPr="00FC0A6D" w:rsidRDefault="002566E0" w:rsidP="00E502EC">
      <w:pPr>
        <w:pStyle w:val="Notes"/>
        <w:keepNext/>
        <w:keepLines/>
        <w:widowControl w:val="0"/>
        <w:ind w:left="1440" w:hanging="900"/>
      </w:pPr>
      <w:r w:rsidRPr="00115EE4">
        <w:rPr>
          <w:b/>
        </w:rPr>
        <w:t>Note:</w:t>
      </w:r>
      <w:r w:rsidRPr="00795A8C">
        <w:t xml:space="preserve"> </w:t>
      </w:r>
      <w:r w:rsidR="00115EE4">
        <w:tab/>
      </w:r>
      <w:r>
        <w:t>The University provides support for authors through a</w:t>
      </w:r>
      <w:r w:rsidR="00D90F7F">
        <w:t xml:space="preserve"> standardised</w:t>
      </w:r>
      <w:r w:rsidR="00EE390A">
        <w:t xml:space="preserve"> amendment to publication agreement</w:t>
      </w:r>
      <w:r>
        <w:t xml:space="preserve"> and copyright advisory services. </w:t>
      </w:r>
      <w:r w:rsidRPr="00795A8C">
        <w:t>Contact Copyright</w:t>
      </w:r>
      <w:r>
        <w:t xml:space="preserve"> S</w:t>
      </w:r>
      <w:r w:rsidRPr="00795A8C">
        <w:t>ervices for</w:t>
      </w:r>
      <w:r w:rsidR="00EE390A">
        <w:t xml:space="preserve"> information</w:t>
      </w:r>
      <w:r>
        <w:t>:</w:t>
      </w:r>
      <w:r w:rsidRPr="00795A8C">
        <w:t xml:space="preserve"> </w:t>
      </w:r>
      <w:hyperlink r:id="rId17" w:history="1">
        <w:r w:rsidR="002A2F7A">
          <w:rPr>
            <w:rStyle w:val="Hyperlink"/>
          </w:rPr>
          <w:t>https://www.library.sydney.edu.au/support/copyright</w:t>
        </w:r>
      </w:hyperlink>
      <w:r w:rsidR="00A07F9F">
        <w:t xml:space="preserve"> </w:t>
      </w:r>
    </w:p>
    <w:p w14:paraId="5A517887" w14:textId="77777777" w:rsidR="00E57E69" w:rsidRDefault="00376AD2" w:rsidP="00763FFD">
      <w:pPr>
        <w:pStyle w:val="Heading"/>
        <w:numPr>
          <w:ilvl w:val="0"/>
          <w:numId w:val="33"/>
        </w:numPr>
        <w:ind w:hanging="930"/>
        <w:outlineLvl w:val="0"/>
      </w:pPr>
      <w:bookmarkStart w:id="10" w:name="_Toc84890429"/>
      <w:r>
        <w:t>O</w:t>
      </w:r>
      <w:r w:rsidR="005F358F">
        <w:t>pen access</w:t>
      </w:r>
      <w:r w:rsidR="00464647">
        <w:t xml:space="preserve"> to </w:t>
      </w:r>
      <w:r w:rsidR="00286C02">
        <w:t>scholarly works</w:t>
      </w:r>
      <w:bookmarkEnd w:id="10"/>
    </w:p>
    <w:p w14:paraId="0289C22A" w14:textId="77777777" w:rsidR="00D82BD2" w:rsidRDefault="00D82BD2" w:rsidP="00B51B15">
      <w:pPr>
        <w:pStyle w:val="FirstLevel"/>
        <w:numPr>
          <w:ilvl w:val="1"/>
          <w:numId w:val="35"/>
        </w:numPr>
        <w:tabs>
          <w:tab w:val="clear" w:pos="1287"/>
        </w:tabs>
        <w:ind w:left="540" w:hanging="540"/>
      </w:pPr>
      <w:r w:rsidRPr="00CF65EA">
        <w:t>The University will</w:t>
      </w:r>
      <w:r w:rsidR="00770EC2" w:rsidRPr="00CF65EA">
        <w:t xml:space="preserve"> </w:t>
      </w:r>
      <w:r w:rsidRPr="00CF65EA">
        <w:t xml:space="preserve">retain </w:t>
      </w:r>
      <w:r w:rsidR="00994E8F" w:rsidRPr="00CF65EA">
        <w:t xml:space="preserve">the publisher’s version </w:t>
      </w:r>
      <w:r w:rsidRPr="00CF65EA">
        <w:t xml:space="preserve">of all collected scholarly works </w:t>
      </w:r>
      <w:r w:rsidR="00770EC2" w:rsidRPr="00CF65EA">
        <w:t xml:space="preserve">in a password </w:t>
      </w:r>
      <w:r w:rsidRPr="00CF65EA">
        <w:t xml:space="preserve">protected, </w:t>
      </w:r>
      <w:r w:rsidR="005A0D2F" w:rsidRPr="00CF65EA">
        <w:t>restricted</w:t>
      </w:r>
      <w:r w:rsidRPr="00CF65EA">
        <w:t xml:space="preserve"> access repository for recordkeeping, reporting and other purposes as required by the University from time to time</w:t>
      </w:r>
      <w:r w:rsidR="001E3FE3">
        <w:t>, including but not limited to HERDC and ERA reporting</w:t>
      </w:r>
      <w:r w:rsidR="00770EC2" w:rsidRPr="00CF65EA">
        <w:t>.</w:t>
      </w:r>
    </w:p>
    <w:p w14:paraId="79EA870B" w14:textId="77777777" w:rsidR="00A83A5F" w:rsidRPr="00CF65EA" w:rsidRDefault="00A83A5F" w:rsidP="000A5213">
      <w:pPr>
        <w:pStyle w:val="FirstLevel"/>
      </w:pPr>
      <w:r>
        <w:t>The University will retain accepted manuscript versions of</w:t>
      </w:r>
      <w:r w:rsidR="00CF3C59">
        <w:t xml:space="preserve"> all</w:t>
      </w:r>
      <w:r>
        <w:t xml:space="preserve"> journal articles and other scholarly works submitted directly to the University’s external access repository.</w:t>
      </w:r>
    </w:p>
    <w:p w14:paraId="354B9D45" w14:textId="77777777" w:rsidR="0051679B" w:rsidRDefault="00037C84" w:rsidP="000A5213">
      <w:pPr>
        <w:pStyle w:val="FirstLevel"/>
      </w:pPr>
      <w:r>
        <w:t xml:space="preserve">Where publishers’ archiving policies allow, </w:t>
      </w:r>
      <w:r w:rsidR="00A83A5F">
        <w:t xml:space="preserve">the </w:t>
      </w:r>
      <w:r w:rsidR="0051679B">
        <w:t>University will make</w:t>
      </w:r>
      <w:r w:rsidR="005F7E64">
        <w:t xml:space="preserve"> </w:t>
      </w:r>
      <w:r w:rsidR="0051679B">
        <w:t>collected</w:t>
      </w:r>
      <w:r w:rsidR="0051679B" w:rsidRPr="00493BFD">
        <w:t xml:space="preserve"> </w:t>
      </w:r>
      <w:r w:rsidR="000815E8">
        <w:t xml:space="preserve">scholarly works and </w:t>
      </w:r>
      <w:r w:rsidR="0051679B">
        <w:t>associated metadata</w:t>
      </w:r>
      <w:r w:rsidR="00910186">
        <w:t xml:space="preserve"> openly</w:t>
      </w:r>
      <w:r w:rsidR="0051679B">
        <w:t xml:space="preserve"> available through its </w:t>
      </w:r>
      <w:r w:rsidR="00994E8F">
        <w:t>external</w:t>
      </w:r>
      <w:r w:rsidR="0051679B">
        <w:t xml:space="preserve"> access</w:t>
      </w:r>
      <w:r w:rsidR="0051679B" w:rsidRPr="00493BFD">
        <w:t xml:space="preserve"> </w:t>
      </w:r>
      <w:r w:rsidR="0051679B">
        <w:t>repository</w:t>
      </w:r>
      <w:r w:rsidR="00A81300">
        <w:t>,</w:t>
      </w:r>
      <w:r w:rsidR="00A81300" w:rsidRPr="00330E5F">
        <w:t xml:space="preserve"> </w:t>
      </w:r>
      <w:r w:rsidR="006A2C49">
        <w:t xml:space="preserve">no later than </w:t>
      </w:r>
      <w:r w:rsidR="00A81300" w:rsidRPr="00330E5F">
        <w:t>12 months after the date of publication</w:t>
      </w:r>
      <w:r w:rsidR="0051679B" w:rsidRPr="00330E5F">
        <w:t>.</w:t>
      </w:r>
      <w:r w:rsidR="00F63354" w:rsidRPr="00330E5F">
        <w:t xml:space="preserve"> </w:t>
      </w:r>
    </w:p>
    <w:p w14:paraId="30DD3C9B" w14:textId="77777777" w:rsidR="00A36AE0" w:rsidRDefault="00D6597A" w:rsidP="000A5213">
      <w:pPr>
        <w:pStyle w:val="FirstLevel"/>
      </w:pPr>
      <w:r>
        <w:t>Where access to the full text of collected scholarly works is not permitted by the publisher, publication metadata</w:t>
      </w:r>
      <w:r w:rsidR="00236FC6">
        <w:t xml:space="preserve"> and a link to the published work</w:t>
      </w:r>
      <w:r>
        <w:t xml:space="preserve"> will be made openly available. </w:t>
      </w:r>
    </w:p>
    <w:p w14:paraId="326AC64C" w14:textId="77777777" w:rsidR="00286C02" w:rsidRPr="000F2A87" w:rsidRDefault="00D6597A" w:rsidP="00763FFD">
      <w:pPr>
        <w:pStyle w:val="Heading"/>
        <w:numPr>
          <w:ilvl w:val="0"/>
          <w:numId w:val="33"/>
        </w:numPr>
        <w:ind w:hanging="930"/>
        <w:outlineLvl w:val="0"/>
      </w:pPr>
      <w:bookmarkStart w:id="11" w:name="_Toc84890430"/>
      <w:r>
        <w:t>O</w:t>
      </w:r>
      <w:r w:rsidR="00286C02" w:rsidRPr="000F2A87">
        <w:t>pen access to research data</w:t>
      </w:r>
      <w:r w:rsidR="00D12C77" w:rsidRPr="000F2A87">
        <w:t xml:space="preserve"> collections</w:t>
      </w:r>
      <w:bookmarkEnd w:id="11"/>
    </w:p>
    <w:p w14:paraId="45463018" w14:textId="77777777" w:rsidR="006B4D01" w:rsidRDefault="00D258DD" w:rsidP="006C0AC0">
      <w:pPr>
        <w:pStyle w:val="Text"/>
      </w:pPr>
      <w:r w:rsidRPr="000F2A87">
        <w:t xml:space="preserve">Chief investigators or </w:t>
      </w:r>
      <w:r w:rsidR="004E6072" w:rsidRPr="000F2A87">
        <w:t>r</w:t>
      </w:r>
      <w:r w:rsidRPr="000F2A87">
        <w:t xml:space="preserve">esearch </w:t>
      </w:r>
      <w:r w:rsidR="004E6072" w:rsidRPr="000F2A87">
        <w:t>s</w:t>
      </w:r>
      <w:r w:rsidRPr="000F2A87">
        <w:t>upervisors (with the consent of their research student</w:t>
      </w:r>
      <w:r w:rsidR="00236FC6">
        <w:t>(s)</w:t>
      </w:r>
      <w:r w:rsidRPr="000F2A87">
        <w:t xml:space="preserve"> where required) should make</w:t>
      </w:r>
      <w:r w:rsidR="00D12C77" w:rsidRPr="000F2A87">
        <w:t xml:space="preserve"> completed research data </w:t>
      </w:r>
      <w:r w:rsidR="00C4500D">
        <w:t>sets</w:t>
      </w:r>
      <w:r w:rsidR="00C4500D" w:rsidRPr="000F2A87">
        <w:t xml:space="preserve"> </w:t>
      </w:r>
      <w:r w:rsidRPr="000F2A87">
        <w:t xml:space="preserve">openly available for re-use, unless this is prevented </w:t>
      </w:r>
      <w:r w:rsidR="00420F9C">
        <w:t>by the requirements of legislation or University policy, or ethical, contractual, or confidentiality obligations</w:t>
      </w:r>
      <w:r w:rsidRPr="000F2A87">
        <w:t xml:space="preserve">. </w:t>
      </w:r>
    </w:p>
    <w:p w14:paraId="30AFE46F" w14:textId="72920BB3" w:rsidR="004F38C3" w:rsidRPr="000A5213" w:rsidRDefault="004F38C3" w:rsidP="006C0AC0">
      <w:pPr>
        <w:pStyle w:val="Notes"/>
        <w:ind w:left="709" w:hanging="709"/>
        <w:rPr>
          <w:i/>
        </w:rPr>
      </w:pPr>
      <w:r w:rsidRPr="004F38C3">
        <w:rPr>
          <w:b/>
        </w:rPr>
        <w:t>Note:</w:t>
      </w:r>
      <w:r w:rsidRPr="000F2A87">
        <w:t xml:space="preserve"> </w:t>
      </w:r>
      <w:r w:rsidRPr="000F2A87">
        <w:tab/>
        <w:t>See</w:t>
      </w:r>
      <w:r>
        <w:t xml:space="preserve"> clause 12 of</w:t>
      </w:r>
      <w:r w:rsidRPr="000F2A87">
        <w:t xml:space="preserve"> the </w:t>
      </w:r>
      <w:hyperlink r:id="rId18" w:history="1">
        <w:r w:rsidRPr="004F38C3">
          <w:rPr>
            <w:rStyle w:val="Hyperlink"/>
            <w:i/>
          </w:rPr>
          <w:t>Research Data Management Policy 2014</w:t>
        </w:r>
      </w:hyperlink>
      <w:r w:rsidR="00236FC6">
        <w:t xml:space="preserve"> and clause 9 of the </w:t>
      </w:r>
      <w:hyperlink r:id="rId19" w:history="1">
        <w:r w:rsidR="001449F1" w:rsidRPr="00236FC6">
          <w:rPr>
            <w:rStyle w:val="Hyperlink"/>
            <w:i/>
          </w:rPr>
          <w:t xml:space="preserve">Research Code of Conduct </w:t>
        </w:r>
        <w:r w:rsidR="001449F1">
          <w:rPr>
            <w:rStyle w:val="Hyperlink"/>
            <w:i/>
          </w:rPr>
          <w:t>2023</w:t>
        </w:r>
      </w:hyperlink>
      <w:r w:rsidR="00236FC6">
        <w:t xml:space="preserve">. </w:t>
      </w:r>
    </w:p>
    <w:p w14:paraId="66DB3663" w14:textId="77777777" w:rsidR="00C672D9" w:rsidRPr="00EF6937" w:rsidRDefault="00D6597A" w:rsidP="00763FFD">
      <w:pPr>
        <w:pStyle w:val="Heading"/>
        <w:numPr>
          <w:ilvl w:val="0"/>
          <w:numId w:val="33"/>
        </w:numPr>
        <w:ind w:hanging="930"/>
        <w:outlineLvl w:val="0"/>
      </w:pPr>
      <w:bookmarkStart w:id="12" w:name="_Toc84890431"/>
      <w:r>
        <w:t>O</w:t>
      </w:r>
      <w:r w:rsidR="00C672D9" w:rsidRPr="00EF6937">
        <w:t xml:space="preserve">pen access to </w:t>
      </w:r>
      <w:r w:rsidR="00AF4786">
        <w:t xml:space="preserve">higher degree by research </w:t>
      </w:r>
      <w:r w:rsidR="00C672D9" w:rsidRPr="00EF6937">
        <w:t>theses</w:t>
      </w:r>
      <w:bookmarkEnd w:id="12"/>
    </w:p>
    <w:p w14:paraId="02C2596C" w14:textId="77777777" w:rsidR="00FD4675" w:rsidRPr="00744076" w:rsidRDefault="00FD4675" w:rsidP="001E75F8">
      <w:pPr>
        <w:pStyle w:val="FirstLevel"/>
        <w:numPr>
          <w:ilvl w:val="1"/>
          <w:numId w:val="38"/>
        </w:numPr>
        <w:tabs>
          <w:tab w:val="clear" w:pos="1287"/>
        </w:tabs>
        <w:ind w:left="540" w:hanging="540"/>
      </w:pPr>
      <w:bookmarkStart w:id="13" w:name="_Toc138496788"/>
      <w:r>
        <w:t>Research students</w:t>
      </w:r>
      <w:r w:rsidRPr="00744076">
        <w:t xml:space="preserve"> must </w:t>
      </w:r>
      <w:r>
        <w:t xml:space="preserve">lodge the final version </w:t>
      </w:r>
      <w:r w:rsidRPr="00744076">
        <w:t>of their awarded thesis with the University Librar</w:t>
      </w:r>
      <w:r>
        <w:t>ian</w:t>
      </w:r>
      <w:r w:rsidRPr="00744076">
        <w:t xml:space="preserve">, in accordance with Part 6 of the </w:t>
      </w:r>
      <w:hyperlink r:id="rId20" w:history="1">
        <w:r w:rsidRPr="001E75F8">
          <w:rPr>
            <w:rStyle w:val="Hyperlink"/>
            <w:i/>
            <w:iCs/>
          </w:rPr>
          <w:t>University of Sydney (Higher Degree by Research) Rule 2011</w:t>
        </w:r>
        <w:r w:rsidRPr="00744076">
          <w:rPr>
            <w:rStyle w:val="Hyperlink"/>
          </w:rPr>
          <w:t xml:space="preserve"> (</w:t>
        </w:r>
        <w:r w:rsidRPr="001E75F8">
          <w:rPr>
            <w:rStyle w:val="Hyperlink"/>
            <w:i/>
          </w:rPr>
          <w:t>as amended)</w:t>
        </w:r>
        <w:r w:rsidRPr="00744076">
          <w:rPr>
            <w:rStyle w:val="Hyperlink"/>
          </w:rPr>
          <w:t>.</w:t>
        </w:r>
      </w:hyperlink>
    </w:p>
    <w:p w14:paraId="74ED3576" w14:textId="77777777" w:rsidR="00FD4675" w:rsidRPr="00744076" w:rsidRDefault="00FD4675" w:rsidP="00FD4675">
      <w:pPr>
        <w:pStyle w:val="FirstLevel"/>
        <w:numPr>
          <w:ilvl w:val="1"/>
          <w:numId w:val="1"/>
        </w:numPr>
        <w:ind w:left="567"/>
      </w:pPr>
      <w:r w:rsidRPr="00744076">
        <w:t xml:space="preserve">The University Library will use the University’s external access repository to retain and manage access to electronic </w:t>
      </w:r>
      <w:r w:rsidR="00017D20">
        <w:t>copies of theses as the primary</w:t>
      </w:r>
      <w:r w:rsidRPr="00744076">
        <w:t xml:space="preserve"> archival version. </w:t>
      </w:r>
    </w:p>
    <w:p w14:paraId="4B28D6AC" w14:textId="77777777" w:rsidR="00FD4675" w:rsidRPr="00744076" w:rsidRDefault="00FD4675" w:rsidP="008E4719">
      <w:pPr>
        <w:pStyle w:val="FirstLevel"/>
        <w:keepNext/>
        <w:keepLines/>
        <w:widowControl w:val="0"/>
        <w:numPr>
          <w:ilvl w:val="1"/>
          <w:numId w:val="1"/>
        </w:numPr>
        <w:ind w:left="567"/>
      </w:pPr>
      <w:r w:rsidRPr="00744076">
        <w:lastRenderedPageBreak/>
        <w:t xml:space="preserve">Except where </w:t>
      </w:r>
      <w:r w:rsidR="00C75A39">
        <w:t>permitted</w:t>
      </w:r>
      <w:r w:rsidRPr="00744076">
        <w:t xml:space="preserve"> under the provisions of Part 6 of the </w:t>
      </w:r>
      <w:hyperlink r:id="rId21" w:history="1">
        <w:r w:rsidRPr="00E109B9">
          <w:rPr>
            <w:rStyle w:val="Hyperlink"/>
            <w:i/>
            <w:iCs/>
          </w:rPr>
          <w:t>University of Sydney (Higher Degree by Research) Rule 2011(as amended)</w:t>
        </w:r>
      </w:hyperlink>
      <w:r>
        <w:t xml:space="preserve">: </w:t>
      </w:r>
    </w:p>
    <w:p w14:paraId="78C05721" w14:textId="77777777" w:rsidR="00FD4675" w:rsidRPr="00744076" w:rsidRDefault="00FD4675" w:rsidP="008E4719">
      <w:pPr>
        <w:pStyle w:val="SecondLevel"/>
        <w:keepNext/>
        <w:keepLines/>
        <w:widowControl w:val="0"/>
        <w:numPr>
          <w:ilvl w:val="2"/>
          <w:numId w:val="1"/>
        </w:numPr>
        <w:tabs>
          <w:tab w:val="clear" w:pos="1854"/>
        </w:tabs>
        <w:ind w:left="1080" w:hanging="450"/>
      </w:pPr>
      <w:r>
        <w:t>the abstract</w:t>
      </w:r>
      <w:r w:rsidRPr="00744076">
        <w:t xml:space="preserve"> and metadata of awarded theses will be made openly accessible</w:t>
      </w:r>
      <w:r>
        <w:t>;</w:t>
      </w:r>
    </w:p>
    <w:p w14:paraId="05DB743E" w14:textId="77777777" w:rsidR="00FD4675" w:rsidRPr="00744076" w:rsidRDefault="00FD4675" w:rsidP="008E4719">
      <w:pPr>
        <w:pStyle w:val="SecondLevel"/>
        <w:keepNext/>
        <w:keepLines/>
        <w:widowControl w:val="0"/>
        <w:numPr>
          <w:ilvl w:val="2"/>
          <w:numId w:val="1"/>
        </w:numPr>
        <w:tabs>
          <w:tab w:val="clear" w:pos="1854"/>
        </w:tabs>
        <w:ind w:left="1080" w:hanging="450"/>
      </w:pPr>
      <w:r w:rsidRPr="00744076">
        <w:t xml:space="preserve">awarded theses will be </w:t>
      </w:r>
      <w:r>
        <w:t>accessible</w:t>
      </w:r>
      <w:r w:rsidRPr="00744076">
        <w:t xml:space="preserve"> to </w:t>
      </w:r>
      <w:r>
        <w:t xml:space="preserve">University </w:t>
      </w:r>
      <w:r w:rsidRPr="00744076">
        <w:t>staff, students and affiliates</w:t>
      </w:r>
      <w:r>
        <w:t>; and</w:t>
      </w:r>
    </w:p>
    <w:p w14:paraId="4F072DB0" w14:textId="77777777" w:rsidR="00FD4675" w:rsidRPr="00744076" w:rsidRDefault="00FD4675" w:rsidP="008E4719">
      <w:pPr>
        <w:pStyle w:val="SecondLevel"/>
        <w:keepNext/>
        <w:keepLines/>
        <w:widowControl w:val="0"/>
        <w:numPr>
          <w:ilvl w:val="2"/>
          <w:numId w:val="1"/>
        </w:numPr>
        <w:tabs>
          <w:tab w:val="clear" w:pos="1854"/>
        </w:tabs>
        <w:ind w:left="1080" w:hanging="450"/>
      </w:pPr>
      <w:r>
        <w:t>research students</w:t>
      </w:r>
      <w:r w:rsidR="008644D8">
        <w:t>, in consultation with their supervisors</w:t>
      </w:r>
      <w:r w:rsidR="006933A6">
        <w:t>,</w:t>
      </w:r>
      <w:r w:rsidRPr="00744076">
        <w:t xml:space="preserve"> are encouraged to make </w:t>
      </w:r>
      <w:r w:rsidR="007A0AEB">
        <w:t>their</w:t>
      </w:r>
      <w:r w:rsidR="00032715">
        <w:t xml:space="preserve"> </w:t>
      </w:r>
      <w:r w:rsidR="00C4500D">
        <w:t>t</w:t>
      </w:r>
      <w:r w:rsidR="008644D8">
        <w:t>hese</w:t>
      </w:r>
      <w:r w:rsidR="00C4500D">
        <w:t>s</w:t>
      </w:r>
      <w:r w:rsidRPr="00744076">
        <w:t xml:space="preserve"> openly accessible.</w:t>
      </w:r>
    </w:p>
    <w:p w14:paraId="7C61C53A" w14:textId="15DEDCFC" w:rsidR="009D5529" w:rsidRDefault="00FD4675" w:rsidP="00E502EC">
      <w:pPr>
        <w:pStyle w:val="Notes"/>
        <w:keepNext/>
        <w:keepLines/>
        <w:widowControl w:val="0"/>
        <w:ind w:left="1435" w:hanging="868"/>
      </w:pPr>
      <w:r w:rsidRPr="00C615B9">
        <w:rPr>
          <w:b/>
        </w:rPr>
        <w:t>Note:</w:t>
      </w:r>
      <w:r>
        <w:t xml:space="preserve"> </w:t>
      </w:r>
      <w:r>
        <w:tab/>
        <w:t xml:space="preserve">See </w:t>
      </w:r>
      <w:r w:rsidRPr="00900832">
        <w:t>the</w:t>
      </w:r>
      <w:r>
        <w:t xml:space="preserve"> </w:t>
      </w:r>
      <w:hyperlink r:id="rId22" w:history="1">
        <w:r w:rsidRPr="00A07F9F">
          <w:rPr>
            <w:rStyle w:val="Hyperlink"/>
            <w:i/>
          </w:rPr>
          <w:t>University of Sydney (Higher Degree by Research) Rule 2011</w:t>
        </w:r>
        <w:r w:rsidR="00A07F9F" w:rsidRPr="00A07F9F">
          <w:rPr>
            <w:rStyle w:val="Hyperlink"/>
            <w:i/>
          </w:rPr>
          <w:t xml:space="preserve"> (as amended</w:t>
        </w:r>
      </w:hyperlink>
      <w:r w:rsidR="00A07F9F">
        <w:rPr>
          <w:rStyle w:val="Hyperlink"/>
          <w:i/>
        </w:rPr>
        <w:t>)</w:t>
      </w:r>
      <w:r w:rsidR="00AC3EEA">
        <w:t>.</w:t>
      </w:r>
      <w:r w:rsidR="00EE390A">
        <w:t xml:space="preserve"> </w:t>
      </w:r>
      <w:r w:rsidR="00CE7FE1">
        <w:t xml:space="preserve"> </w:t>
      </w:r>
      <w:r w:rsidR="00EE390A" w:rsidRPr="00795A8C">
        <w:t>Contact Copyright</w:t>
      </w:r>
      <w:r w:rsidR="00EE390A">
        <w:t xml:space="preserve"> S</w:t>
      </w:r>
      <w:r w:rsidR="00EE390A" w:rsidRPr="00795A8C">
        <w:t>ervices for</w:t>
      </w:r>
      <w:r w:rsidR="00EE390A">
        <w:t xml:space="preserve"> information regarding copyright and higher degree by research theses:</w:t>
      </w:r>
      <w:r w:rsidR="00EE390A" w:rsidRPr="00795A8C">
        <w:t xml:space="preserve"> </w:t>
      </w:r>
      <w:hyperlink r:id="rId23" w:history="1">
        <w:r w:rsidR="00A07F9F" w:rsidRPr="00BC6436">
          <w:rPr>
            <w:rStyle w:val="Hyperlink"/>
          </w:rPr>
          <w:t>https://library.sydney.edu.au/help/copyright/</w:t>
        </w:r>
      </w:hyperlink>
      <w:r w:rsidR="00A07F9F">
        <w:t xml:space="preserve"> </w:t>
      </w:r>
    </w:p>
    <w:p w14:paraId="6B48325C" w14:textId="4BC0D8F3" w:rsidR="00E502EC" w:rsidRDefault="00E502EC" w:rsidP="008E4719">
      <w:pPr>
        <w:pStyle w:val="Notes"/>
        <w:keepNext/>
        <w:keepLines/>
        <w:widowControl w:val="0"/>
      </w:pPr>
    </w:p>
    <w:p w14:paraId="404FC0E9" w14:textId="77777777" w:rsidR="00E502EC" w:rsidRPr="009D5529" w:rsidRDefault="00E502EC" w:rsidP="008E4719">
      <w:pPr>
        <w:pStyle w:val="Notes"/>
        <w:keepNext/>
        <w:keepLines/>
        <w:widowControl w:val="0"/>
      </w:pPr>
    </w:p>
    <w:p w14:paraId="4DD84E43" w14:textId="77777777" w:rsidR="00E57E69" w:rsidRDefault="00E57E69" w:rsidP="00E57E69">
      <w:pPr>
        <w:pStyle w:val="Heading2"/>
      </w:pPr>
      <w:r>
        <w:t>Notes</w:t>
      </w:r>
      <w:bookmarkEnd w:id="13"/>
    </w:p>
    <w:p w14:paraId="7E3F347B" w14:textId="77777777" w:rsidR="007E0A99" w:rsidRPr="000C0EDC" w:rsidRDefault="00AB18CC" w:rsidP="00E57E69">
      <w:pPr>
        <w:pStyle w:val="Text"/>
        <w:rPr>
          <w:b/>
        </w:rPr>
      </w:pPr>
      <w:r w:rsidRPr="000C0EDC">
        <w:rPr>
          <w:b/>
        </w:rPr>
        <w:t xml:space="preserve">Open Access to University Research Policy </w:t>
      </w:r>
      <w:r w:rsidR="00037C84" w:rsidRPr="000C0EDC">
        <w:rPr>
          <w:b/>
        </w:rPr>
        <w:t>201</w:t>
      </w:r>
      <w:r w:rsidR="000E7BA2">
        <w:rPr>
          <w:b/>
        </w:rPr>
        <w:t>5</w:t>
      </w:r>
    </w:p>
    <w:p w14:paraId="59CD5236" w14:textId="43871511" w:rsidR="00E57E69" w:rsidRDefault="003943C9" w:rsidP="00E57E69">
      <w:pPr>
        <w:pStyle w:val="Text"/>
      </w:pPr>
      <w:r>
        <w:t>Date adopted:</w:t>
      </w:r>
      <w:r w:rsidR="000E7BA2">
        <w:t xml:space="preserve"> </w:t>
      </w:r>
      <w:r w:rsidR="00CE7FE1">
        <w:tab/>
      </w:r>
      <w:r w:rsidR="00CE7FE1">
        <w:tab/>
      </w:r>
      <w:r w:rsidR="000E7BA2">
        <w:t>4 December 2014</w:t>
      </w:r>
    </w:p>
    <w:p w14:paraId="34D7C174" w14:textId="2C47A51D" w:rsidR="00E57E69" w:rsidRDefault="00E57E69" w:rsidP="00E57E69">
      <w:pPr>
        <w:pStyle w:val="Text"/>
      </w:pPr>
      <w:r>
        <w:t>Date registered:</w:t>
      </w:r>
      <w:r w:rsidR="00156407">
        <w:tab/>
      </w:r>
      <w:r w:rsidR="00156407">
        <w:tab/>
        <w:t>10 December 201</w:t>
      </w:r>
      <w:r w:rsidR="003368F0">
        <w:t>4</w:t>
      </w:r>
    </w:p>
    <w:p w14:paraId="54253ED4" w14:textId="3CCCF668" w:rsidR="00E57E69" w:rsidRDefault="00E57E69" w:rsidP="00E57E69">
      <w:pPr>
        <w:pStyle w:val="Text"/>
      </w:pPr>
      <w:r>
        <w:t>Date commenced:</w:t>
      </w:r>
      <w:r w:rsidR="000E7BA2">
        <w:t xml:space="preserve"> </w:t>
      </w:r>
      <w:r w:rsidR="00CE7FE1">
        <w:tab/>
      </w:r>
      <w:r w:rsidR="000E7BA2">
        <w:t>5 January 2015</w:t>
      </w:r>
    </w:p>
    <w:p w14:paraId="670585EE" w14:textId="1A1A982B" w:rsidR="00CE7FE1" w:rsidRDefault="00CE7FE1" w:rsidP="00E57E69">
      <w:pPr>
        <w:pStyle w:val="Text"/>
      </w:pPr>
      <w:r>
        <w:t>Date amended:</w:t>
      </w:r>
      <w:r>
        <w:tab/>
      </w:r>
      <w:r>
        <w:tab/>
        <w:t>15 February 2017 (administrative amendments)</w:t>
      </w:r>
    </w:p>
    <w:p w14:paraId="282E14BF" w14:textId="5567ACD6" w:rsidR="00156407" w:rsidRDefault="00156407" w:rsidP="00E57E69">
      <w:pPr>
        <w:pStyle w:val="Text"/>
      </w:pPr>
      <w:r>
        <w:tab/>
      </w:r>
      <w:r w:rsidR="00A56C16">
        <w:tab/>
      </w:r>
      <w:r w:rsidR="00A56C16">
        <w:tab/>
      </w:r>
      <w:r>
        <w:t>5 November 2018 (administrative amendments)</w:t>
      </w:r>
    </w:p>
    <w:p w14:paraId="344DDF6F" w14:textId="0AE54746" w:rsidR="00E502EC" w:rsidRDefault="00E502EC" w:rsidP="00E57E69">
      <w:pPr>
        <w:pStyle w:val="Text"/>
      </w:pPr>
      <w:r>
        <w:tab/>
      </w:r>
      <w:r>
        <w:tab/>
      </w:r>
      <w:r>
        <w:tab/>
        <w:t>13 February 2021 (administrative amendments)</w:t>
      </w:r>
    </w:p>
    <w:p w14:paraId="18EBFB15" w14:textId="1BD74174" w:rsidR="008E4719" w:rsidRDefault="008E4719" w:rsidP="00E57E69">
      <w:pPr>
        <w:pStyle w:val="Text"/>
      </w:pPr>
      <w:r>
        <w:tab/>
      </w:r>
      <w:r>
        <w:tab/>
      </w:r>
      <w:r>
        <w:tab/>
        <w:t>8 October 2021 (administrative amendment)</w:t>
      </w:r>
    </w:p>
    <w:p w14:paraId="3615F6C5" w14:textId="473B5028" w:rsidR="002442D4" w:rsidRDefault="002442D4" w:rsidP="00E57E69">
      <w:pPr>
        <w:pStyle w:val="Text"/>
      </w:pPr>
      <w:r>
        <w:tab/>
      </w:r>
      <w:r>
        <w:tab/>
      </w:r>
      <w:r>
        <w:tab/>
      </w:r>
      <w:r w:rsidR="001D117F">
        <w:t>9</w:t>
      </w:r>
      <w:r>
        <w:t xml:space="preserve"> February 2024 (administrative amendments)</w:t>
      </w:r>
    </w:p>
    <w:p w14:paraId="33E833FE" w14:textId="32838B05" w:rsidR="00E57E69" w:rsidRDefault="008E4719" w:rsidP="000D417D">
      <w:pPr>
        <w:pStyle w:val="Text"/>
      </w:pPr>
      <w:r>
        <w:t>Original a</w:t>
      </w:r>
      <w:r w:rsidR="00E57E69">
        <w:t xml:space="preserve">dministrator: </w:t>
      </w:r>
      <w:r w:rsidR="00CE7FE1">
        <w:tab/>
      </w:r>
      <w:r w:rsidR="00A06B2C">
        <w:t>Director,</w:t>
      </w:r>
      <w:r w:rsidR="006C0AC0">
        <w:t xml:space="preserve"> University</w:t>
      </w:r>
      <w:r w:rsidR="00AB18CC">
        <w:t xml:space="preserve"> Librari</w:t>
      </w:r>
      <w:r w:rsidR="006C0AC0">
        <w:t>es</w:t>
      </w:r>
    </w:p>
    <w:p w14:paraId="7B791249" w14:textId="0E440D70" w:rsidR="008E4719" w:rsidRPr="00017830" w:rsidRDefault="008E4719" w:rsidP="000D417D">
      <w:pPr>
        <w:pStyle w:val="Text"/>
      </w:pPr>
      <w:r>
        <w:t>Current policy owner:</w:t>
      </w:r>
      <w:r>
        <w:tab/>
      </w:r>
      <w:r w:rsidR="00E51E7D">
        <w:t>Director, University Libraries</w:t>
      </w:r>
    </w:p>
    <w:p w14:paraId="6E1F5D1B" w14:textId="5DB65893" w:rsidR="00E57E69" w:rsidRDefault="00E57E69" w:rsidP="00E57E69">
      <w:pPr>
        <w:pStyle w:val="Text"/>
      </w:pPr>
      <w:r>
        <w:t xml:space="preserve">Review date: </w:t>
      </w:r>
      <w:r w:rsidR="00CE7FE1">
        <w:tab/>
      </w:r>
      <w:r w:rsidR="00CE7FE1">
        <w:tab/>
      </w:r>
      <w:r w:rsidR="00FF4DC7">
        <w:t>4 December 2019</w:t>
      </w:r>
    </w:p>
    <w:p w14:paraId="3DA6AD44" w14:textId="77777777" w:rsidR="001554E2" w:rsidRDefault="00E57E69" w:rsidP="001554E2">
      <w:pPr>
        <w:pStyle w:val="Text"/>
      </w:pPr>
      <w:r w:rsidRPr="00156407">
        <w:t>Related documents:</w:t>
      </w:r>
    </w:p>
    <w:p w14:paraId="337B52E6" w14:textId="77777777" w:rsidR="00BA6CAF" w:rsidRDefault="00BA6CAF" w:rsidP="00BA6CAF">
      <w:pPr>
        <w:pStyle w:val="Text"/>
        <w:ind w:left="2160"/>
        <w:rPr>
          <w:i/>
        </w:rPr>
      </w:pPr>
      <w:r>
        <w:rPr>
          <w:i/>
        </w:rPr>
        <w:t>Copyright Act 1968 (Cth)</w:t>
      </w:r>
    </w:p>
    <w:p w14:paraId="1D281CE5" w14:textId="77777777" w:rsidR="00BA6CAF" w:rsidRDefault="00BA6CAF" w:rsidP="00BA6CAF">
      <w:pPr>
        <w:pStyle w:val="Text"/>
        <w:ind w:left="2160"/>
        <w:rPr>
          <w:i/>
        </w:rPr>
      </w:pPr>
      <w:r>
        <w:rPr>
          <w:i/>
        </w:rPr>
        <w:t>Electronic Transactions Act 1999 (Cth)</w:t>
      </w:r>
    </w:p>
    <w:p w14:paraId="26E940C7" w14:textId="77777777" w:rsidR="00BA6CAF" w:rsidRDefault="00BA6CAF" w:rsidP="00BA6CAF">
      <w:pPr>
        <w:pStyle w:val="Text"/>
        <w:ind w:left="2160"/>
        <w:rPr>
          <w:i/>
        </w:rPr>
      </w:pPr>
      <w:r>
        <w:rPr>
          <w:i/>
        </w:rPr>
        <w:t>Privacy Act 1988 (Cth)</w:t>
      </w:r>
    </w:p>
    <w:p w14:paraId="5D66E5FD" w14:textId="77777777" w:rsidR="00BA6CAF" w:rsidRPr="00D247DC" w:rsidRDefault="00BA6CAF" w:rsidP="00BA6CAF">
      <w:pPr>
        <w:pStyle w:val="Text"/>
        <w:ind w:left="2160"/>
        <w:rPr>
          <w:i/>
        </w:rPr>
      </w:pPr>
      <w:r w:rsidRPr="00D247DC">
        <w:rPr>
          <w:i/>
        </w:rPr>
        <w:t>Government Information (Public Access) Act 2009 (NSW)</w:t>
      </w:r>
    </w:p>
    <w:p w14:paraId="4F91F0A1" w14:textId="77777777" w:rsidR="00BA6CAF" w:rsidRDefault="00BA6CAF" w:rsidP="00BA6CAF">
      <w:pPr>
        <w:pStyle w:val="Text"/>
        <w:ind w:left="2160"/>
        <w:rPr>
          <w:i/>
        </w:rPr>
      </w:pPr>
      <w:r>
        <w:rPr>
          <w:i/>
        </w:rPr>
        <w:t>University of Sydney Act 1989</w:t>
      </w:r>
    </w:p>
    <w:p w14:paraId="2CC92289" w14:textId="77777777" w:rsidR="00BA6CAF" w:rsidRPr="00D247DC" w:rsidRDefault="00BA6CAF" w:rsidP="00BA6CAF">
      <w:pPr>
        <w:pStyle w:val="Text"/>
        <w:ind w:left="2160"/>
        <w:rPr>
          <w:i/>
        </w:rPr>
      </w:pPr>
      <w:r w:rsidRPr="00D247DC">
        <w:rPr>
          <w:i/>
        </w:rPr>
        <w:t>University of Sydney By-Law 1999 (NSW) (as amended)</w:t>
      </w:r>
    </w:p>
    <w:p w14:paraId="5B681A27" w14:textId="77777777" w:rsidR="000C0EDC" w:rsidRDefault="000C0EDC" w:rsidP="000C0EDC">
      <w:pPr>
        <w:pStyle w:val="Text"/>
        <w:ind w:left="2160"/>
        <w:rPr>
          <w:i/>
          <w:iCs/>
        </w:rPr>
      </w:pPr>
      <w:r w:rsidRPr="008F44C8">
        <w:rPr>
          <w:i/>
          <w:iCs/>
        </w:rPr>
        <w:lastRenderedPageBreak/>
        <w:t>University of Sydney (Higher Degree by Research) Rule 2011(as amended)</w:t>
      </w:r>
    </w:p>
    <w:p w14:paraId="3E3AA680" w14:textId="677B7BBC" w:rsidR="000C0EDC" w:rsidRDefault="000C0EDC" w:rsidP="000C0EDC">
      <w:pPr>
        <w:pStyle w:val="Text"/>
        <w:ind w:left="2160"/>
        <w:rPr>
          <w:i/>
        </w:rPr>
      </w:pPr>
      <w:r w:rsidRPr="00D247DC">
        <w:rPr>
          <w:i/>
        </w:rPr>
        <w:t>University of Sydney (Policies Development and Review) Rule 2012</w:t>
      </w:r>
    </w:p>
    <w:p w14:paraId="3D8E9A39" w14:textId="2DBD0170" w:rsidR="00113053" w:rsidRDefault="008E4719" w:rsidP="00E93CB0">
      <w:pPr>
        <w:pStyle w:val="Text"/>
        <w:ind w:left="2160"/>
        <w:rPr>
          <w:i/>
        </w:rPr>
      </w:pPr>
      <w:r>
        <w:rPr>
          <w:i/>
        </w:rPr>
        <w:t>C</w:t>
      </w:r>
      <w:r w:rsidR="00113053">
        <w:rPr>
          <w:i/>
        </w:rPr>
        <w:t>harter of Freedom of Speech and Academic Freedom</w:t>
      </w:r>
    </w:p>
    <w:p w14:paraId="4397B596" w14:textId="5988A851" w:rsidR="00EE390A" w:rsidRDefault="00EE390A" w:rsidP="00E93CB0">
      <w:pPr>
        <w:pStyle w:val="Text"/>
        <w:ind w:left="2160"/>
        <w:rPr>
          <w:i/>
        </w:rPr>
      </w:pPr>
      <w:r>
        <w:rPr>
          <w:i/>
        </w:rPr>
        <w:t>I</w:t>
      </w:r>
      <w:r w:rsidR="00A07F9F">
        <w:rPr>
          <w:i/>
        </w:rPr>
        <w:t>ntellectual Property Policy 2016</w:t>
      </w:r>
    </w:p>
    <w:p w14:paraId="3A22524B" w14:textId="77777777" w:rsidR="00BA6CAF" w:rsidRPr="00D247DC" w:rsidRDefault="00BA6CAF" w:rsidP="00BA6CAF">
      <w:pPr>
        <w:pStyle w:val="Text"/>
        <w:ind w:left="2160"/>
        <w:rPr>
          <w:i/>
        </w:rPr>
      </w:pPr>
      <w:r w:rsidRPr="00D247DC">
        <w:rPr>
          <w:i/>
        </w:rPr>
        <w:t>Research Agreements Policy 201</w:t>
      </w:r>
      <w:r>
        <w:rPr>
          <w:i/>
        </w:rPr>
        <w:t>1</w:t>
      </w:r>
    </w:p>
    <w:p w14:paraId="51BBE847" w14:textId="5CC2FD86" w:rsidR="00BA6CAF" w:rsidRPr="00D247DC" w:rsidRDefault="00BA6CAF" w:rsidP="00BA6CAF">
      <w:pPr>
        <w:pStyle w:val="Text"/>
        <w:ind w:left="2160"/>
        <w:rPr>
          <w:i/>
        </w:rPr>
      </w:pPr>
      <w:r w:rsidRPr="00D247DC">
        <w:rPr>
          <w:i/>
        </w:rPr>
        <w:t xml:space="preserve">Research Code of Conduct </w:t>
      </w:r>
      <w:r w:rsidR="002442D4">
        <w:rPr>
          <w:i/>
        </w:rPr>
        <w:t>2023</w:t>
      </w:r>
    </w:p>
    <w:p w14:paraId="30CACE40" w14:textId="3F84F4D1" w:rsidR="00AB18CC" w:rsidRDefault="00AB18CC" w:rsidP="00BA6CAF">
      <w:pPr>
        <w:pStyle w:val="Text"/>
        <w:ind w:left="2160"/>
        <w:rPr>
          <w:i/>
        </w:rPr>
      </w:pPr>
      <w:r>
        <w:rPr>
          <w:i/>
        </w:rPr>
        <w:t xml:space="preserve">Research Data Management Policy </w:t>
      </w:r>
      <w:r w:rsidR="002442D4">
        <w:rPr>
          <w:i/>
        </w:rPr>
        <w:t>2014</w:t>
      </w:r>
    </w:p>
    <w:p w14:paraId="0071E480" w14:textId="4452D87B" w:rsidR="00CC7BA6" w:rsidRDefault="00F33245" w:rsidP="00BA6CAF">
      <w:pPr>
        <w:pStyle w:val="Text"/>
        <w:ind w:left="2160"/>
        <w:rPr>
          <w:i/>
        </w:rPr>
      </w:pPr>
      <w:r>
        <w:rPr>
          <w:i/>
        </w:rPr>
        <w:t>Higher Degree by Research Supervision Policy 2020</w:t>
      </w:r>
    </w:p>
    <w:p w14:paraId="2C57AF15" w14:textId="29B49335" w:rsidR="00AB18CC" w:rsidRDefault="00AC0DF9" w:rsidP="00BA6CAF">
      <w:pPr>
        <w:pStyle w:val="Text"/>
        <w:ind w:left="2160"/>
        <w:rPr>
          <w:i/>
        </w:rPr>
      </w:pPr>
      <w:r>
        <w:rPr>
          <w:i/>
        </w:rPr>
        <w:t>Recordkeeping Policy 2017</w:t>
      </w:r>
    </w:p>
    <w:p w14:paraId="3AE49564" w14:textId="77777777" w:rsidR="000C0EDC" w:rsidRDefault="000C0EDC" w:rsidP="000C0EDC">
      <w:pPr>
        <w:pStyle w:val="Text"/>
        <w:ind w:left="2160"/>
        <w:rPr>
          <w:i/>
        </w:rPr>
      </w:pPr>
      <w:r>
        <w:rPr>
          <w:i/>
        </w:rPr>
        <w:t>Recordkeeping Manual</w:t>
      </w:r>
    </w:p>
    <w:p w14:paraId="6E43FDB9" w14:textId="3947B68F" w:rsidR="00BA6CAF" w:rsidRPr="00D247DC" w:rsidRDefault="00BA6CAF" w:rsidP="00BA6CAF">
      <w:pPr>
        <w:pStyle w:val="Text"/>
        <w:ind w:left="2160"/>
        <w:rPr>
          <w:i/>
        </w:rPr>
      </w:pPr>
      <w:r w:rsidRPr="00D247DC">
        <w:rPr>
          <w:i/>
        </w:rPr>
        <w:t>University of Sydne</w:t>
      </w:r>
      <w:r w:rsidR="00AC0DF9">
        <w:rPr>
          <w:i/>
        </w:rPr>
        <w:t xml:space="preserve">y Enterprise Agreement </w:t>
      </w:r>
      <w:r w:rsidR="00F33245">
        <w:rPr>
          <w:i/>
        </w:rPr>
        <w:t>2023-2026</w:t>
      </w:r>
    </w:p>
    <w:p w14:paraId="6AC44620" w14:textId="77777777" w:rsidR="00BA09B4" w:rsidRPr="004751E9" w:rsidRDefault="00BA09B4" w:rsidP="00BA6CAF">
      <w:pPr>
        <w:pStyle w:val="Text"/>
        <w:ind w:left="2160"/>
        <w:rPr>
          <w:i/>
        </w:rPr>
      </w:pPr>
      <w:r w:rsidRPr="004751E9">
        <w:rPr>
          <w:i/>
        </w:rPr>
        <w:t>ARC Open Access Policy</w:t>
      </w:r>
    </w:p>
    <w:p w14:paraId="06C32AB2" w14:textId="77777777" w:rsidR="004751E9" w:rsidRDefault="004751E9" w:rsidP="00BA6CAF">
      <w:pPr>
        <w:pStyle w:val="Text"/>
        <w:ind w:left="2160"/>
        <w:rPr>
          <w:i/>
        </w:rPr>
      </w:pPr>
      <w:r w:rsidRPr="004751E9">
        <w:rPr>
          <w:i/>
        </w:rPr>
        <w:t>IATSIS Guidelines for Ethical Research in Indigenous Studies</w:t>
      </w:r>
    </w:p>
    <w:p w14:paraId="0849A5E4" w14:textId="0F33578E" w:rsidR="00BA6CAF" w:rsidRPr="00D247DC" w:rsidRDefault="00BA6CAF" w:rsidP="00BA6CAF">
      <w:pPr>
        <w:pStyle w:val="Text"/>
        <w:ind w:left="2160"/>
        <w:rPr>
          <w:i/>
        </w:rPr>
      </w:pPr>
      <w:r w:rsidRPr="00D247DC">
        <w:rPr>
          <w:i/>
        </w:rPr>
        <w:t xml:space="preserve">Australian Code for the Responsible Conduct of Research </w:t>
      </w:r>
      <w:r w:rsidR="0078600D">
        <w:rPr>
          <w:i/>
        </w:rPr>
        <w:t>2018</w:t>
      </w:r>
      <w:r w:rsidRPr="00D247DC">
        <w:rPr>
          <w:i/>
        </w:rPr>
        <w:t>(NHMRC/ARC)</w:t>
      </w:r>
    </w:p>
    <w:p w14:paraId="0C6DCA4A" w14:textId="77777777" w:rsidR="00BA6CAF" w:rsidRPr="00D247DC" w:rsidRDefault="00BA6CAF" w:rsidP="00BA6CAF">
      <w:pPr>
        <w:pStyle w:val="Text"/>
        <w:ind w:left="2160"/>
        <w:rPr>
          <w:i/>
        </w:rPr>
      </w:pPr>
      <w:r w:rsidRPr="00D247DC">
        <w:rPr>
          <w:i/>
        </w:rPr>
        <w:t>Excellence in Research Australia 2010 Submission Guidelines (Australian Research Council)</w:t>
      </w:r>
    </w:p>
    <w:p w14:paraId="6AF61DAC" w14:textId="77777777" w:rsidR="008F73FB" w:rsidRDefault="008F73FB" w:rsidP="00BA6CAF">
      <w:pPr>
        <w:pStyle w:val="Text"/>
        <w:ind w:left="2160"/>
        <w:rPr>
          <w:i/>
        </w:rPr>
      </w:pPr>
      <w:r>
        <w:rPr>
          <w:i/>
        </w:rPr>
        <w:t>NHMRC revised policy on the dissemination of research findings</w:t>
      </w:r>
    </w:p>
    <w:p w14:paraId="7EDD3070" w14:textId="77777777" w:rsidR="004751E9" w:rsidRDefault="004751E9" w:rsidP="00BA6CAF">
      <w:pPr>
        <w:pStyle w:val="Text"/>
        <w:ind w:left="2160"/>
        <w:rPr>
          <w:i/>
        </w:rPr>
      </w:pPr>
      <w:r w:rsidRPr="004751E9">
        <w:rPr>
          <w:i/>
        </w:rPr>
        <w:t>Values and Ethics: Guidelines for Ethical Conduct in Aboriginal and Torres Strait Islander Health Research</w:t>
      </w:r>
      <w:r>
        <w:rPr>
          <w:i/>
        </w:rPr>
        <w:t xml:space="preserve"> (NHMRC)</w:t>
      </w:r>
    </w:p>
    <w:p w14:paraId="06983AB1" w14:textId="781FA51F" w:rsidR="00E57E69" w:rsidRDefault="00E57E69" w:rsidP="00BA6CAF">
      <w:pPr>
        <w:pStyle w:val="Text"/>
      </w:pPr>
    </w:p>
    <w:p w14:paraId="710E8C7F" w14:textId="77777777" w:rsidR="00E502EC" w:rsidRDefault="00E502EC" w:rsidP="00BA6CAF">
      <w:pPr>
        <w:pStyle w:val="Text"/>
      </w:pPr>
    </w:p>
    <w:p w14:paraId="19105179" w14:textId="77777777" w:rsidR="00E57E69" w:rsidRDefault="00E57E69" w:rsidP="00E57E69">
      <w:r>
        <w:t>_______________________________________________________________________</w:t>
      </w:r>
    </w:p>
    <w:p w14:paraId="22125923" w14:textId="77777777" w:rsidR="00E57E69" w:rsidRPr="001554E2" w:rsidRDefault="00E57E69" w:rsidP="00D821A4">
      <w:pPr>
        <w:pStyle w:val="Heading2"/>
        <w:rPr>
          <w:color w:val="auto"/>
        </w:rPr>
      </w:pPr>
      <w:bookmarkStart w:id="14" w:name="_Toc138496789"/>
      <w:r>
        <w:t>Amendment history</w:t>
      </w:r>
      <w:bookmarkEnd w:id="14"/>
    </w:p>
    <w:p w14:paraId="34F266D0" w14:textId="77777777" w:rsidR="00E57E69" w:rsidRPr="001554E2" w:rsidRDefault="00E57E69" w:rsidP="00D821A4">
      <w:pPr>
        <w:pStyle w:val="Text"/>
        <w:keepNext/>
        <w:keepLines/>
        <w:rPr>
          <w:lang w:eastAsia="en-AU"/>
        </w:rPr>
      </w:pPr>
    </w:p>
    <w:tbl>
      <w:tblPr>
        <w:tblW w:w="0" w:type="auto"/>
        <w:tblLook w:val="00A0" w:firstRow="1" w:lastRow="0" w:firstColumn="1" w:lastColumn="0" w:noHBand="0" w:noVBand="0"/>
      </w:tblPr>
      <w:tblGrid>
        <w:gridCol w:w="1238"/>
        <w:gridCol w:w="4908"/>
        <w:gridCol w:w="1790"/>
      </w:tblGrid>
      <w:tr w:rsidR="00E57E69" w14:paraId="58882A6B" w14:textId="77777777" w:rsidTr="00AE69B8">
        <w:trPr>
          <w:cantSplit/>
          <w:trHeight w:val="500"/>
          <w:tblHeader/>
        </w:trPr>
        <w:tc>
          <w:tcPr>
            <w:tcW w:w="1238" w:type="dxa"/>
          </w:tcPr>
          <w:p w14:paraId="525EFDE5" w14:textId="77777777" w:rsidR="00E57E69" w:rsidRPr="005F1996" w:rsidRDefault="00E57E69" w:rsidP="00D821A4">
            <w:pPr>
              <w:keepNext/>
              <w:keepLines/>
              <w:rPr>
                <w:b/>
              </w:rPr>
            </w:pPr>
            <w:r w:rsidRPr="005F1996">
              <w:rPr>
                <w:b/>
              </w:rPr>
              <w:t>Provision</w:t>
            </w:r>
          </w:p>
        </w:tc>
        <w:tc>
          <w:tcPr>
            <w:tcW w:w="4908" w:type="dxa"/>
          </w:tcPr>
          <w:p w14:paraId="213F2D35" w14:textId="77777777" w:rsidR="00E57E69" w:rsidRPr="005F1996" w:rsidRDefault="00E57E69" w:rsidP="00D821A4">
            <w:pPr>
              <w:keepNext/>
              <w:keepLines/>
              <w:rPr>
                <w:b/>
              </w:rPr>
            </w:pPr>
            <w:r w:rsidRPr="005F1996">
              <w:rPr>
                <w:b/>
              </w:rPr>
              <w:t>Amendment</w:t>
            </w:r>
          </w:p>
        </w:tc>
        <w:tc>
          <w:tcPr>
            <w:tcW w:w="1790" w:type="dxa"/>
          </w:tcPr>
          <w:p w14:paraId="0FB61D21" w14:textId="77777777" w:rsidR="00E57E69" w:rsidRPr="005F1996" w:rsidRDefault="00E57E69" w:rsidP="00D821A4">
            <w:pPr>
              <w:keepNext/>
              <w:keepLines/>
              <w:rPr>
                <w:b/>
              </w:rPr>
            </w:pPr>
            <w:r w:rsidRPr="005F1996">
              <w:rPr>
                <w:b/>
              </w:rPr>
              <w:t>Commencing</w:t>
            </w:r>
          </w:p>
        </w:tc>
      </w:tr>
      <w:tr w:rsidR="00E57E69" w14:paraId="7EA990CB" w14:textId="77777777" w:rsidTr="00AE69B8">
        <w:trPr>
          <w:cantSplit/>
        </w:trPr>
        <w:tc>
          <w:tcPr>
            <w:tcW w:w="1238" w:type="dxa"/>
          </w:tcPr>
          <w:p w14:paraId="7AD023E2" w14:textId="5F1C4713" w:rsidR="00E57E69" w:rsidRPr="000573D9" w:rsidRDefault="00C51D6C" w:rsidP="008A42A3">
            <w:pPr>
              <w:pStyle w:val="Text"/>
            </w:pPr>
            <w:r>
              <w:t>Internal hyperlinks and references</w:t>
            </w:r>
          </w:p>
        </w:tc>
        <w:tc>
          <w:tcPr>
            <w:tcW w:w="4908" w:type="dxa"/>
          </w:tcPr>
          <w:p w14:paraId="1DFD8D37" w14:textId="08929533" w:rsidR="00E57E69" w:rsidRPr="000573D9" w:rsidRDefault="00C51D6C" w:rsidP="00A07F9F">
            <w:pPr>
              <w:pStyle w:val="Text"/>
            </w:pPr>
            <w:r>
              <w:t>Updating various hyperlinks and references to other documents updated.</w:t>
            </w:r>
          </w:p>
        </w:tc>
        <w:tc>
          <w:tcPr>
            <w:tcW w:w="1790" w:type="dxa"/>
          </w:tcPr>
          <w:p w14:paraId="231F310D" w14:textId="22895751" w:rsidR="00E57E69" w:rsidRPr="000573D9" w:rsidRDefault="00C51D6C" w:rsidP="008A42A3">
            <w:pPr>
              <w:pStyle w:val="Text"/>
            </w:pPr>
            <w:r>
              <w:t>15 February 2017</w:t>
            </w:r>
          </w:p>
        </w:tc>
      </w:tr>
      <w:tr w:rsidR="00E57E69" w14:paraId="265798FB" w14:textId="77777777" w:rsidTr="00AE69B8">
        <w:trPr>
          <w:cantSplit/>
        </w:trPr>
        <w:tc>
          <w:tcPr>
            <w:tcW w:w="1238" w:type="dxa"/>
          </w:tcPr>
          <w:p w14:paraId="4A24AA1D" w14:textId="54DFE7D9" w:rsidR="00E57E69" w:rsidRPr="005F1996" w:rsidRDefault="00E33D03" w:rsidP="008A42A3">
            <w:pPr>
              <w:pStyle w:val="Text"/>
            </w:pPr>
            <w:r>
              <w:t>4(c)</w:t>
            </w:r>
          </w:p>
        </w:tc>
        <w:tc>
          <w:tcPr>
            <w:tcW w:w="4908" w:type="dxa"/>
          </w:tcPr>
          <w:p w14:paraId="7B9F09CD" w14:textId="77AD4445" w:rsidR="00E57E69" w:rsidRPr="005F1996" w:rsidRDefault="00E33D03" w:rsidP="008A42A3">
            <w:pPr>
              <w:pStyle w:val="Text"/>
            </w:pPr>
            <w:r>
              <w:t>Update hyperlink to Australian Code for the Responsible Conduct of Research 2007.</w:t>
            </w:r>
          </w:p>
        </w:tc>
        <w:tc>
          <w:tcPr>
            <w:tcW w:w="1790" w:type="dxa"/>
          </w:tcPr>
          <w:p w14:paraId="1F47F390" w14:textId="4D20FA2F" w:rsidR="00E57E69" w:rsidRPr="005F1996" w:rsidRDefault="00E33D03" w:rsidP="008A42A3">
            <w:pPr>
              <w:pStyle w:val="Text"/>
            </w:pPr>
            <w:r>
              <w:t>5 November 2018</w:t>
            </w:r>
          </w:p>
        </w:tc>
      </w:tr>
      <w:tr w:rsidR="00AC0DF9" w14:paraId="3089D3A9" w14:textId="77777777" w:rsidTr="00AE69B8">
        <w:trPr>
          <w:cantSplit/>
        </w:trPr>
        <w:tc>
          <w:tcPr>
            <w:tcW w:w="1238" w:type="dxa"/>
          </w:tcPr>
          <w:p w14:paraId="1B72991A" w14:textId="6EBCE1AA" w:rsidR="00AC0DF9" w:rsidRDefault="001554E2" w:rsidP="008A42A3">
            <w:pPr>
              <w:pStyle w:val="Text"/>
            </w:pPr>
            <w:r>
              <w:lastRenderedPageBreak/>
              <w:t xml:space="preserve">Related </w:t>
            </w:r>
            <w:r w:rsidR="00E502EC">
              <w:t>documents</w:t>
            </w:r>
          </w:p>
        </w:tc>
        <w:tc>
          <w:tcPr>
            <w:tcW w:w="4908" w:type="dxa"/>
          </w:tcPr>
          <w:p w14:paraId="16683471" w14:textId="1CC56182" w:rsidR="00AC0DF9" w:rsidRDefault="001554E2" w:rsidP="008A42A3">
            <w:pPr>
              <w:pStyle w:val="Text"/>
            </w:pPr>
            <w:r>
              <w:t>Update r</w:t>
            </w:r>
            <w:r w:rsidR="00AC0DF9">
              <w:t>eference to the Recordkeeping Policy 20</w:t>
            </w:r>
            <w:r w:rsidR="00B06B96">
              <w:t>1</w:t>
            </w:r>
            <w:r w:rsidR="00AC0DF9">
              <w:t>7</w:t>
            </w:r>
          </w:p>
        </w:tc>
        <w:tc>
          <w:tcPr>
            <w:tcW w:w="1790" w:type="dxa"/>
          </w:tcPr>
          <w:p w14:paraId="36B09D28" w14:textId="5AB08559" w:rsidR="00AC0DF9" w:rsidRDefault="00AC0DF9" w:rsidP="008A42A3">
            <w:pPr>
              <w:pStyle w:val="Text"/>
            </w:pPr>
            <w:r>
              <w:t>5 November 2018</w:t>
            </w:r>
          </w:p>
        </w:tc>
      </w:tr>
      <w:tr w:rsidR="00AC0DF9" w14:paraId="71E22304" w14:textId="77777777" w:rsidTr="00AE69B8">
        <w:trPr>
          <w:cantSplit/>
        </w:trPr>
        <w:tc>
          <w:tcPr>
            <w:tcW w:w="1238" w:type="dxa"/>
          </w:tcPr>
          <w:p w14:paraId="21EC5E5D" w14:textId="4640FF26" w:rsidR="00AC0DF9" w:rsidRDefault="00AC0DF9" w:rsidP="008A42A3">
            <w:pPr>
              <w:pStyle w:val="Text"/>
            </w:pPr>
            <w:r>
              <w:t xml:space="preserve">Related </w:t>
            </w:r>
            <w:r w:rsidR="00E502EC">
              <w:t>documents</w:t>
            </w:r>
          </w:p>
        </w:tc>
        <w:tc>
          <w:tcPr>
            <w:tcW w:w="4908" w:type="dxa"/>
          </w:tcPr>
          <w:p w14:paraId="03ECDB66" w14:textId="59D147AD" w:rsidR="00AC0DF9" w:rsidRDefault="00AC0DF9" w:rsidP="008A42A3">
            <w:pPr>
              <w:pStyle w:val="Text"/>
            </w:pPr>
            <w:r>
              <w:t>Update reference to University of Sydney Enterprise Agreement 2018-2021</w:t>
            </w:r>
          </w:p>
        </w:tc>
        <w:tc>
          <w:tcPr>
            <w:tcW w:w="1790" w:type="dxa"/>
          </w:tcPr>
          <w:p w14:paraId="30A981B7" w14:textId="4CB7A22C" w:rsidR="00AC0DF9" w:rsidRDefault="00AC0DF9" w:rsidP="008A42A3">
            <w:pPr>
              <w:pStyle w:val="Text"/>
            </w:pPr>
            <w:r>
              <w:t>5 November 2018</w:t>
            </w:r>
          </w:p>
        </w:tc>
      </w:tr>
      <w:tr w:rsidR="00AC0DF9" w14:paraId="24FF2F19" w14:textId="77777777" w:rsidTr="00AE69B8">
        <w:trPr>
          <w:cantSplit/>
        </w:trPr>
        <w:tc>
          <w:tcPr>
            <w:tcW w:w="1238" w:type="dxa"/>
          </w:tcPr>
          <w:p w14:paraId="27ACD8EF" w14:textId="41B6F68A" w:rsidR="00AC0DF9" w:rsidRDefault="00113053" w:rsidP="008A42A3">
            <w:pPr>
              <w:pStyle w:val="Text"/>
            </w:pPr>
            <w:r>
              <w:t xml:space="preserve">Related </w:t>
            </w:r>
            <w:r w:rsidR="00E502EC">
              <w:t>documents</w:t>
            </w:r>
          </w:p>
        </w:tc>
        <w:tc>
          <w:tcPr>
            <w:tcW w:w="4908" w:type="dxa"/>
          </w:tcPr>
          <w:p w14:paraId="2D0B1CAC" w14:textId="6F9CFD5B" w:rsidR="00AC0DF9" w:rsidRDefault="00113053" w:rsidP="008A42A3">
            <w:pPr>
              <w:pStyle w:val="Text"/>
            </w:pPr>
            <w:r>
              <w:t>Update reference to Charter of Freedom of Speech and Academic Freedom</w:t>
            </w:r>
          </w:p>
        </w:tc>
        <w:tc>
          <w:tcPr>
            <w:tcW w:w="1790" w:type="dxa"/>
          </w:tcPr>
          <w:p w14:paraId="1E57AFC7" w14:textId="6CBA71B2" w:rsidR="00AC0DF9" w:rsidRDefault="00113053" w:rsidP="008A42A3">
            <w:pPr>
              <w:pStyle w:val="Text"/>
            </w:pPr>
            <w:r>
              <w:t>13 February 2021</w:t>
            </w:r>
          </w:p>
        </w:tc>
      </w:tr>
      <w:tr w:rsidR="00B06B96" w14:paraId="0063A938" w14:textId="77777777" w:rsidTr="00AE69B8">
        <w:trPr>
          <w:cantSplit/>
        </w:trPr>
        <w:tc>
          <w:tcPr>
            <w:tcW w:w="1238" w:type="dxa"/>
          </w:tcPr>
          <w:p w14:paraId="53A32161" w14:textId="0F4951B5" w:rsidR="00B06B96" w:rsidRDefault="00B06B96" w:rsidP="008A42A3">
            <w:pPr>
              <w:pStyle w:val="Text"/>
            </w:pPr>
            <w:r>
              <w:t>4(c)</w:t>
            </w:r>
          </w:p>
        </w:tc>
        <w:tc>
          <w:tcPr>
            <w:tcW w:w="4908" w:type="dxa"/>
          </w:tcPr>
          <w:p w14:paraId="08B3C124" w14:textId="77777777" w:rsidR="00B06B96" w:rsidRDefault="00BA63A9" w:rsidP="008A42A3">
            <w:pPr>
              <w:pStyle w:val="Text"/>
            </w:pPr>
            <w:r>
              <w:t>Replaced ‘Research Code of Conduct 2013’ with ‘Research Code of Conduct 2023’</w:t>
            </w:r>
          </w:p>
          <w:p w14:paraId="34447B0D" w14:textId="5080FFDB" w:rsidR="00BA63A9" w:rsidRDefault="00BA63A9" w:rsidP="008A42A3">
            <w:pPr>
              <w:pStyle w:val="Text"/>
            </w:pPr>
            <w:r>
              <w:t xml:space="preserve">Replaced ‘Australian Code for the Responsible Conduct of Research 2007’ with ‘Australian Code for the Responsible Conduct </w:t>
            </w:r>
            <w:r w:rsidR="00B26A5F">
              <w:t>of Research 2018’ and updated hyperlink</w:t>
            </w:r>
          </w:p>
        </w:tc>
        <w:tc>
          <w:tcPr>
            <w:tcW w:w="1790" w:type="dxa"/>
          </w:tcPr>
          <w:p w14:paraId="42318261" w14:textId="77557935" w:rsidR="00B06B96" w:rsidRDefault="00BF3B18" w:rsidP="008A42A3">
            <w:pPr>
              <w:pStyle w:val="Text"/>
            </w:pPr>
            <w:r>
              <w:t>9 February 2024</w:t>
            </w:r>
          </w:p>
        </w:tc>
      </w:tr>
      <w:tr w:rsidR="00BF3B18" w14:paraId="5DA4005D" w14:textId="77777777" w:rsidTr="00AE69B8">
        <w:trPr>
          <w:cantSplit/>
        </w:trPr>
        <w:tc>
          <w:tcPr>
            <w:tcW w:w="1238" w:type="dxa"/>
          </w:tcPr>
          <w:p w14:paraId="5AF0DBA5" w14:textId="115D7019" w:rsidR="00BF3B18" w:rsidRDefault="00BF3B18" w:rsidP="00BF3B18">
            <w:pPr>
              <w:pStyle w:val="Text"/>
            </w:pPr>
            <w:r>
              <w:t>6</w:t>
            </w:r>
          </w:p>
        </w:tc>
        <w:tc>
          <w:tcPr>
            <w:tcW w:w="4908" w:type="dxa"/>
          </w:tcPr>
          <w:p w14:paraId="7116D0F1" w14:textId="77777777" w:rsidR="00BF3B18" w:rsidRDefault="00BF3B18" w:rsidP="00BF3B18">
            <w:pPr>
              <w:pStyle w:val="Text"/>
            </w:pPr>
            <w:r>
              <w:t xml:space="preserve">Amended definition for ‘affiliate’ </w:t>
            </w:r>
          </w:p>
          <w:p w14:paraId="6527318A" w14:textId="3FF6909E" w:rsidR="00BF3B18" w:rsidRDefault="00BF3B18" w:rsidP="00BF3B18">
            <w:pPr>
              <w:pStyle w:val="Text"/>
            </w:pPr>
            <w:r>
              <w:t>Replaced ‘Code of Conduct – Staff and Affiliates’ with ‘Staff and Affiliates Code of Conduct 2021’</w:t>
            </w:r>
          </w:p>
        </w:tc>
        <w:tc>
          <w:tcPr>
            <w:tcW w:w="1790" w:type="dxa"/>
          </w:tcPr>
          <w:p w14:paraId="2BA46ADA" w14:textId="248616A8" w:rsidR="00BF3B18" w:rsidRDefault="00BF3B18" w:rsidP="00BF3B18">
            <w:pPr>
              <w:pStyle w:val="Text"/>
            </w:pPr>
            <w:r>
              <w:t>9 February 2024</w:t>
            </w:r>
          </w:p>
        </w:tc>
      </w:tr>
      <w:tr w:rsidR="00BF3B18" w14:paraId="11F131A6" w14:textId="77777777" w:rsidTr="00AE69B8">
        <w:trPr>
          <w:cantSplit/>
        </w:trPr>
        <w:tc>
          <w:tcPr>
            <w:tcW w:w="1238" w:type="dxa"/>
          </w:tcPr>
          <w:p w14:paraId="5766B842" w14:textId="2C2CAF1F" w:rsidR="00BF3B18" w:rsidRDefault="00BF3B18" w:rsidP="00BF3B18">
            <w:pPr>
              <w:pStyle w:val="Text"/>
            </w:pPr>
            <w:r>
              <w:t>6</w:t>
            </w:r>
          </w:p>
        </w:tc>
        <w:tc>
          <w:tcPr>
            <w:tcW w:w="4908" w:type="dxa"/>
          </w:tcPr>
          <w:p w14:paraId="1AC908F8" w14:textId="77777777" w:rsidR="00BF3B18" w:rsidRDefault="00BF3B18" w:rsidP="00BF3B18">
            <w:pPr>
              <w:pStyle w:val="Text"/>
            </w:pPr>
            <w:r>
              <w:t>Amended definition for ‘supervisor’</w:t>
            </w:r>
          </w:p>
          <w:p w14:paraId="1AB79AD7" w14:textId="79AA3053" w:rsidR="00BF3B18" w:rsidRDefault="00BF3B18" w:rsidP="00BF3B18">
            <w:pPr>
              <w:pStyle w:val="Text"/>
            </w:pPr>
            <w:r>
              <w:t>Replaced ‘University of Sydney (Higher Degree by Research) Rule 2011’ with ‘Higher Degree by Research Supervision Policy 2020’</w:t>
            </w:r>
          </w:p>
        </w:tc>
        <w:tc>
          <w:tcPr>
            <w:tcW w:w="1790" w:type="dxa"/>
          </w:tcPr>
          <w:p w14:paraId="10BBDBF0" w14:textId="7D709FDE" w:rsidR="00BF3B18" w:rsidRDefault="00BF3B18" w:rsidP="00BF3B18">
            <w:pPr>
              <w:pStyle w:val="Text"/>
            </w:pPr>
            <w:r>
              <w:t>9 February 2024</w:t>
            </w:r>
          </w:p>
        </w:tc>
      </w:tr>
      <w:tr w:rsidR="00BF3B18" w14:paraId="31F36571" w14:textId="77777777" w:rsidTr="00AE69B8">
        <w:trPr>
          <w:cantSplit/>
        </w:trPr>
        <w:tc>
          <w:tcPr>
            <w:tcW w:w="1238" w:type="dxa"/>
          </w:tcPr>
          <w:p w14:paraId="4684408B" w14:textId="620F841F" w:rsidR="00BF3B18" w:rsidRDefault="00BF3B18" w:rsidP="00BF3B18">
            <w:pPr>
              <w:pStyle w:val="Text"/>
            </w:pPr>
            <w:r>
              <w:t>8(2)(b) note; 9(2) note</w:t>
            </w:r>
          </w:p>
        </w:tc>
        <w:tc>
          <w:tcPr>
            <w:tcW w:w="4908" w:type="dxa"/>
          </w:tcPr>
          <w:p w14:paraId="5AACE6C4" w14:textId="6F2347CA" w:rsidR="00BF3B18" w:rsidRDefault="00BF3B18" w:rsidP="00BF3B18">
            <w:pPr>
              <w:pStyle w:val="Text"/>
            </w:pPr>
            <w:r>
              <w:t>Corrected internal hyperlinks</w:t>
            </w:r>
          </w:p>
        </w:tc>
        <w:tc>
          <w:tcPr>
            <w:tcW w:w="1790" w:type="dxa"/>
          </w:tcPr>
          <w:p w14:paraId="361DD7FA" w14:textId="707215AD" w:rsidR="00BF3B18" w:rsidRDefault="00BF3B18" w:rsidP="00BF3B18">
            <w:pPr>
              <w:pStyle w:val="Text"/>
            </w:pPr>
            <w:r>
              <w:t>9 February 2024</w:t>
            </w:r>
          </w:p>
        </w:tc>
      </w:tr>
      <w:tr w:rsidR="00BF3B18" w14:paraId="2C6C9005" w14:textId="77777777" w:rsidTr="00AE69B8">
        <w:trPr>
          <w:cantSplit/>
        </w:trPr>
        <w:tc>
          <w:tcPr>
            <w:tcW w:w="1238" w:type="dxa"/>
          </w:tcPr>
          <w:p w14:paraId="0959FB13" w14:textId="640B3971" w:rsidR="00BF3B18" w:rsidRDefault="00BF3B18" w:rsidP="00BF3B18">
            <w:pPr>
              <w:pStyle w:val="Text"/>
            </w:pPr>
            <w:r>
              <w:t>11 note</w:t>
            </w:r>
          </w:p>
        </w:tc>
        <w:tc>
          <w:tcPr>
            <w:tcW w:w="4908" w:type="dxa"/>
          </w:tcPr>
          <w:p w14:paraId="5C01BAB4" w14:textId="30ED65CD" w:rsidR="00BF3B18" w:rsidRDefault="00BF3B18" w:rsidP="00BF3B18">
            <w:pPr>
              <w:pStyle w:val="Text"/>
            </w:pPr>
            <w:r>
              <w:t>Replaced ‘Australian Code for the Responsible Conduct of Research 2007’ with ‘Australian Code for the Responsible Conduct of Research 2018’ and updated hyperlink</w:t>
            </w:r>
          </w:p>
        </w:tc>
        <w:tc>
          <w:tcPr>
            <w:tcW w:w="1790" w:type="dxa"/>
          </w:tcPr>
          <w:p w14:paraId="49646B13" w14:textId="4808E120" w:rsidR="00BF3B18" w:rsidRDefault="00BF3B18" w:rsidP="00BF3B18">
            <w:pPr>
              <w:pStyle w:val="Text"/>
            </w:pPr>
            <w:r>
              <w:t>9 February 2024</w:t>
            </w:r>
          </w:p>
        </w:tc>
      </w:tr>
      <w:tr w:rsidR="00BF3B18" w14:paraId="7444FC77" w14:textId="77777777" w:rsidTr="00AE69B8">
        <w:trPr>
          <w:cantSplit/>
        </w:trPr>
        <w:tc>
          <w:tcPr>
            <w:tcW w:w="1238" w:type="dxa"/>
          </w:tcPr>
          <w:p w14:paraId="18A04732" w14:textId="157C59F9" w:rsidR="00BF3B18" w:rsidRDefault="00BF3B18" w:rsidP="00BF3B18">
            <w:pPr>
              <w:pStyle w:val="Text"/>
            </w:pPr>
            <w:r>
              <w:t>Related documents</w:t>
            </w:r>
          </w:p>
        </w:tc>
        <w:tc>
          <w:tcPr>
            <w:tcW w:w="4908" w:type="dxa"/>
          </w:tcPr>
          <w:p w14:paraId="33AB07A6" w14:textId="77777777" w:rsidR="00BF3B18" w:rsidRDefault="00BF3B18" w:rsidP="00BF3B18">
            <w:pPr>
              <w:pStyle w:val="Text"/>
            </w:pPr>
            <w:r>
              <w:t>Replaced ‘Research Code of Conduct 2013’ with ‘Research Code of Conduct 2023’</w:t>
            </w:r>
          </w:p>
          <w:p w14:paraId="4A324A71" w14:textId="77777777" w:rsidR="00BF3B18" w:rsidRDefault="00BF3B18" w:rsidP="00BF3B18">
            <w:pPr>
              <w:pStyle w:val="Text"/>
            </w:pPr>
            <w:r>
              <w:t>Replaced ‘Supervision of Higher Degree by Research Students Policy 2013’ with ‘Higher Degree by Research Supervision Policy 2020’</w:t>
            </w:r>
          </w:p>
          <w:p w14:paraId="35075B00" w14:textId="77777777" w:rsidR="00BF3B18" w:rsidRDefault="00BF3B18" w:rsidP="00BF3B18">
            <w:pPr>
              <w:pStyle w:val="Text"/>
            </w:pPr>
            <w:r>
              <w:t>Replaced ‘University of Sydney Enterprise Agreement 2018 – 2021’ with ‘University of Sydney Enterprise Agreement 2023 – 2026’</w:t>
            </w:r>
          </w:p>
          <w:p w14:paraId="4F0201EB" w14:textId="77777777" w:rsidR="00BF3B18" w:rsidRDefault="00BF3B18" w:rsidP="00BF3B18">
            <w:pPr>
              <w:pStyle w:val="Text"/>
            </w:pPr>
            <w:r>
              <w:t>Replaced ‘Australian Code for the Responsible Conduct of Research 2007’ with ‘Australian Code for the Responsible Conduct of Research 2018’</w:t>
            </w:r>
          </w:p>
          <w:p w14:paraId="57D7FED0" w14:textId="68B9546A" w:rsidR="00BF3B18" w:rsidRDefault="00BF3B18" w:rsidP="00BF3B18">
            <w:pPr>
              <w:pStyle w:val="Text"/>
            </w:pPr>
            <w:r>
              <w:t>Deleted ‘Research Principles 2009’</w:t>
            </w:r>
          </w:p>
        </w:tc>
        <w:tc>
          <w:tcPr>
            <w:tcW w:w="1790" w:type="dxa"/>
          </w:tcPr>
          <w:p w14:paraId="14574D81" w14:textId="7EEA67E2" w:rsidR="00BF3B18" w:rsidRDefault="00BF3B18" w:rsidP="00BF3B18">
            <w:pPr>
              <w:pStyle w:val="Text"/>
            </w:pPr>
            <w:r>
              <w:t>9 February 2024</w:t>
            </w:r>
          </w:p>
        </w:tc>
      </w:tr>
    </w:tbl>
    <w:p w14:paraId="09949B78" w14:textId="77777777" w:rsidR="00E57E69" w:rsidRPr="000224D8" w:rsidRDefault="00E57E69" w:rsidP="00E57E69"/>
    <w:sectPr w:rsidR="00E57E69" w:rsidRPr="000224D8" w:rsidSect="008A42A3">
      <w:headerReference w:type="default" r:id="rId24"/>
      <w:footerReference w:type="default" r:id="rId25"/>
      <w:headerReference w:type="first" r:id="rId26"/>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1CD5" w14:textId="77777777" w:rsidR="004521ED" w:rsidRDefault="004521ED">
      <w:pPr>
        <w:spacing w:after="0"/>
      </w:pPr>
      <w:r>
        <w:separator/>
      </w:r>
    </w:p>
  </w:endnote>
  <w:endnote w:type="continuationSeparator" w:id="0">
    <w:p w14:paraId="1A167209" w14:textId="77777777" w:rsidR="004521ED" w:rsidRDefault="00452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30CB" w14:textId="77777777" w:rsidR="00CE7FE1" w:rsidRPr="00157AAA" w:rsidRDefault="00CE7FE1" w:rsidP="008A42A3">
    <w:pPr>
      <w:pStyle w:val="Footer"/>
    </w:pPr>
    <w:r w:rsidRPr="00C6357D">
      <w:rPr>
        <w:sz w:val="16"/>
        <w:szCs w:val="16"/>
      </w:rPr>
      <w:t>Open Access to University Research Policy 2015</w:t>
    </w:r>
    <w:r w:rsidRPr="00157AAA">
      <w:tab/>
    </w:r>
    <w:r>
      <w:tab/>
    </w:r>
    <w:r w:rsidRPr="00157AAA">
      <w:rPr>
        <w:sz w:val="16"/>
        <w:szCs w:val="16"/>
        <w:lang w:val="en-US"/>
      </w:rPr>
      <w:t xml:space="preserve">Page </w:t>
    </w:r>
    <w:r w:rsidRPr="00157AAA">
      <w:rPr>
        <w:sz w:val="16"/>
        <w:szCs w:val="16"/>
        <w:lang w:val="en-US"/>
      </w:rPr>
      <w:fldChar w:fldCharType="begin"/>
    </w:r>
    <w:r w:rsidRPr="00157AAA">
      <w:rPr>
        <w:sz w:val="16"/>
        <w:szCs w:val="16"/>
        <w:lang w:val="en-US"/>
      </w:rPr>
      <w:instrText xml:space="preserve"> PAGE </w:instrText>
    </w:r>
    <w:r w:rsidRPr="00157AAA">
      <w:rPr>
        <w:sz w:val="16"/>
        <w:szCs w:val="16"/>
        <w:lang w:val="en-US"/>
      </w:rPr>
      <w:fldChar w:fldCharType="separate"/>
    </w:r>
    <w:r w:rsidR="00AA6D14">
      <w:rPr>
        <w:noProof/>
        <w:sz w:val="16"/>
        <w:szCs w:val="16"/>
        <w:lang w:val="en-US"/>
      </w:rPr>
      <w:t>2</w:t>
    </w:r>
    <w:r w:rsidRPr="00157AAA">
      <w:rPr>
        <w:sz w:val="16"/>
        <w:szCs w:val="16"/>
        <w:lang w:val="en-US"/>
      </w:rPr>
      <w:fldChar w:fldCharType="end"/>
    </w:r>
    <w:r w:rsidRPr="00157AAA">
      <w:rPr>
        <w:sz w:val="16"/>
        <w:szCs w:val="16"/>
        <w:lang w:val="en-US"/>
      </w:rPr>
      <w:t xml:space="preserve"> of </w:t>
    </w:r>
    <w:r w:rsidR="001554E2">
      <w:rPr>
        <w:noProof/>
        <w:sz w:val="16"/>
        <w:szCs w:val="16"/>
        <w:lang w:val="en-US"/>
      </w:rPr>
      <w:fldChar w:fldCharType="begin"/>
    </w:r>
    <w:r w:rsidR="001554E2">
      <w:rPr>
        <w:noProof/>
        <w:sz w:val="16"/>
        <w:szCs w:val="16"/>
        <w:lang w:val="en-US"/>
      </w:rPr>
      <w:instrText xml:space="preserve"> NUMPAGES   \* MERGEFORMAT </w:instrText>
    </w:r>
    <w:r w:rsidR="001554E2">
      <w:rPr>
        <w:noProof/>
        <w:sz w:val="16"/>
        <w:szCs w:val="16"/>
        <w:lang w:val="en-US"/>
      </w:rPr>
      <w:fldChar w:fldCharType="separate"/>
    </w:r>
    <w:r w:rsidR="00AA6D14">
      <w:rPr>
        <w:noProof/>
        <w:sz w:val="16"/>
        <w:szCs w:val="16"/>
        <w:lang w:val="en-US"/>
      </w:rPr>
      <w:t>7</w:t>
    </w:r>
    <w:r w:rsidR="001554E2">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5312" w14:textId="77777777" w:rsidR="004521ED" w:rsidRDefault="004521ED">
      <w:pPr>
        <w:spacing w:after="0"/>
      </w:pPr>
      <w:r>
        <w:separator/>
      </w:r>
    </w:p>
  </w:footnote>
  <w:footnote w:type="continuationSeparator" w:id="0">
    <w:p w14:paraId="742AFB41" w14:textId="77777777" w:rsidR="004521ED" w:rsidRDefault="004521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042" w14:textId="77777777" w:rsidR="00CE7FE1" w:rsidRDefault="00CE7FE1">
    <w:r>
      <w:rPr>
        <w:noProof/>
      </w:rPr>
      <w:drawing>
        <wp:inline distT="0" distB="0" distL="0" distR="0" wp14:anchorId="03692939" wp14:editId="745F32C4">
          <wp:extent cx="1746885" cy="571500"/>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4688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F447" w14:textId="77777777" w:rsidR="00CE7FE1" w:rsidRPr="00BE0B4B" w:rsidRDefault="00CE7FE1" w:rsidP="008A42A3">
    <w:pPr>
      <w:tabs>
        <w:tab w:val="left" w:pos="142"/>
      </w:tabs>
      <w:rPr>
        <w:sz w:val="22"/>
      </w:rPr>
    </w:pPr>
    <w:r>
      <w:rPr>
        <w:noProof/>
      </w:rPr>
      <w:drawing>
        <wp:anchor distT="0" distB="0" distL="114300" distR="114300" simplePos="0" relativeHeight="251658240" behindDoc="0" locked="0" layoutInCell="1" allowOverlap="1" wp14:anchorId="032B78DA" wp14:editId="35C7E92F">
          <wp:simplePos x="0" y="0"/>
          <wp:positionH relativeFrom="page">
            <wp:posOffset>1196975</wp:posOffset>
          </wp:positionH>
          <wp:positionV relativeFrom="page">
            <wp:posOffset>482600</wp:posOffset>
          </wp:positionV>
          <wp:extent cx="1568450" cy="546100"/>
          <wp:effectExtent l="0" t="0" r="0" b="6350"/>
          <wp:wrapNone/>
          <wp:docPr id="2"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anchor>
      </w:drawing>
    </w:r>
  </w:p>
  <w:p w14:paraId="04631DBD" w14:textId="77777777" w:rsidR="00CE7FE1" w:rsidRDefault="00CE7FE1" w:rsidP="008A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AE6"/>
    <w:multiLevelType w:val="hybridMultilevel"/>
    <w:tmpl w:val="0360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C676D"/>
    <w:multiLevelType w:val="multilevel"/>
    <w:tmpl w:val="B0AC35BE"/>
    <w:lvl w:ilvl="0">
      <w:start w:val="1"/>
      <w:numFmt w:val="none"/>
      <w:isLgl/>
      <w:suff w:val="nothing"/>
      <w:lvlText w:val=""/>
      <w:lvlJc w:val="left"/>
      <w:pPr>
        <w:ind w:left="720" w:firstLine="0"/>
      </w:pPr>
      <w:rPr>
        <w:rFonts w:hint="default"/>
      </w:rPr>
    </w:lvl>
    <w:lvl w:ilvl="1">
      <w:start w:val="1"/>
      <w:numFmt w:val="decimal"/>
      <w:pStyle w:val="FirstLevel"/>
      <w:lvlText w:val="(%2)"/>
      <w:lvlJc w:val="left"/>
      <w:pPr>
        <w:tabs>
          <w:tab w:val="num" w:pos="1287"/>
        </w:tabs>
        <w:ind w:left="1287" w:hanging="567"/>
      </w:pPr>
      <w:rPr>
        <w:rFonts w:hint="default"/>
        <w:strike w:val="0"/>
      </w:rPr>
    </w:lvl>
    <w:lvl w:ilvl="2">
      <w:start w:val="1"/>
      <w:numFmt w:val="lowerLetter"/>
      <w:pStyle w:val="SecondLevel"/>
      <w:lvlText w:val="(%3)"/>
      <w:lvlJc w:val="left"/>
      <w:pPr>
        <w:tabs>
          <w:tab w:val="num" w:pos="1854"/>
        </w:tabs>
        <w:ind w:left="1854" w:hanging="567"/>
      </w:pPr>
      <w:rPr>
        <w:rFonts w:hint="default"/>
        <w:strike w:val="0"/>
      </w:rPr>
    </w:lvl>
    <w:lvl w:ilvl="3">
      <w:start w:val="1"/>
      <w:numFmt w:val="lowerRoman"/>
      <w:pStyle w:val="ThirdLevel"/>
      <w:lvlText w:val="(%4)"/>
      <w:lvlJc w:val="left"/>
      <w:pPr>
        <w:tabs>
          <w:tab w:val="num" w:pos="2421"/>
        </w:tabs>
        <w:ind w:left="2421" w:hanging="567"/>
      </w:pPr>
      <w:rPr>
        <w:rFonts w:hint="default"/>
      </w:rPr>
    </w:lvl>
    <w:lvl w:ilvl="4">
      <w:start w:val="1"/>
      <w:numFmt w:val="none"/>
      <w:lvlText w:val=""/>
      <w:lvlJc w:val="left"/>
      <w:pPr>
        <w:tabs>
          <w:tab w:val="num" w:pos="1854"/>
        </w:tabs>
        <w:ind w:left="1854" w:hanging="1134"/>
      </w:pPr>
      <w:rPr>
        <w:rFonts w:hint="default"/>
      </w:rPr>
    </w:lvl>
    <w:lvl w:ilvl="5">
      <w:start w:val="1"/>
      <w:numFmt w:val="none"/>
      <w:lvlText w:val=""/>
      <w:lvlJc w:val="left"/>
      <w:pPr>
        <w:tabs>
          <w:tab w:val="num" w:pos="2421"/>
        </w:tabs>
        <w:ind w:left="2421" w:hanging="1701"/>
      </w:pPr>
      <w:rPr>
        <w:rFonts w:hint="default"/>
      </w:rPr>
    </w:lvl>
    <w:lvl w:ilvl="6">
      <w:start w:val="1"/>
      <w:numFmt w:val="none"/>
      <w:lvlText w:val="%7"/>
      <w:lvlJc w:val="left"/>
      <w:pPr>
        <w:tabs>
          <w:tab w:val="num" w:pos="1287"/>
        </w:tabs>
        <w:ind w:left="1287" w:hanging="567"/>
      </w:pPr>
      <w:rPr>
        <w:rFonts w:hint="default"/>
      </w:rPr>
    </w:lvl>
    <w:lvl w:ilvl="7">
      <w:start w:val="1"/>
      <w:numFmt w:val="none"/>
      <w:lvlRestart w:val="0"/>
      <w:lvlText w:val="%8"/>
      <w:lvlJc w:val="left"/>
      <w:pPr>
        <w:tabs>
          <w:tab w:val="num" w:pos="1854"/>
        </w:tabs>
        <w:ind w:left="1854" w:hanging="1134"/>
      </w:pPr>
      <w:rPr>
        <w:rFonts w:hint="default"/>
      </w:rPr>
    </w:lvl>
    <w:lvl w:ilvl="8">
      <w:start w:val="1"/>
      <w:numFmt w:val="none"/>
      <w:lvlRestart w:val="0"/>
      <w:lvlText w:val="%9"/>
      <w:lvlJc w:val="left"/>
      <w:pPr>
        <w:tabs>
          <w:tab w:val="num" w:pos="2421"/>
        </w:tabs>
        <w:ind w:left="2421" w:hanging="1701"/>
      </w:pPr>
      <w:rPr>
        <w:rFonts w:hint="default"/>
      </w:rPr>
    </w:lvl>
  </w:abstractNum>
  <w:abstractNum w:abstractNumId="2" w15:restartNumberingAfterBreak="0">
    <w:nsid w:val="53477F77"/>
    <w:multiLevelType w:val="hybridMultilevel"/>
    <w:tmpl w:val="8BA827FA"/>
    <w:lvl w:ilvl="0" w:tplc="43F0D074">
      <w:start w:val="9"/>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B10D2"/>
    <w:multiLevelType w:val="multilevel"/>
    <w:tmpl w:val="D3CE4140"/>
    <w:lvl w:ilvl="0">
      <w:start w:val="1"/>
      <w:numFmt w:val="bullet"/>
      <w:pStyle w:val="textdotpoint"/>
      <w:lvlText w:val=""/>
      <w:lvlJc w:val="left"/>
      <w:pPr>
        <w:ind w:left="720" w:hanging="360"/>
      </w:pPr>
      <w:rPr>
        <w:rFonts w:ascii="Symbol" w:hAnsi="Symbol" w:hint="default"/>
      </w:rPr>
    </w:lvl>
    <w:lvl w:ilvl="1">
      <w:start w:val="1"/>
      <w:numFmt w:val="decimal"/>
      <w:lvlText w:val="(%2)"/>
      <w:lvlJc w:val="left"/>
      <w:pPr>
        <w:tabs>
          <w:tab w:val="num" w:pos="927"/>
        </w:tabs>
        <w:ind w:left="927" w:hanging="567"/>
      </w:pPr>
      <w:rPr>
        <w:rFonts w:hint="default"/>
      </w:rPr>
    </w:lvl>
    <w:lvl w:ilvl="2">
      <w:start w:val="1"/>
      <w:numFmt w:val="lowerLetter"/>
      <w:lvlText w:val="(%3)"/>
      <w:lvlJc w:val="left"/>
      <w:pPr>
        <w:tabs>
          <w:tab w:val="num" w:pos="1494"/>
        </w:tabs>
        <w:ind w:left="1494" w:hanging="567"/>
      </w:pPr>
      <w:rPr>
        <w:rFonts w:hint="default"/>
      </w:rPr>
    </w:lvl>
    <w:lvl w:ilvl="3">
      <w:start w:val="1"/>
      <w:numFmt w:val="lowerRoman"/>
      <w:lvlText w:val="(%4)"/>
      <w:lvlJc w:val="left"/>
      <w:pPr>
        <w:tabs>
          <w:tab w:val="num" w:pos="2061"/>
        </w:tabs>
        <w:ind w:left="2061" w:hanging="567"/>
      </w:pPr>
      <w:rPr>
        <w:rFonts w:hint="default"/>
      </w:rPr>
    </w:lvl>
    <w:lvl w:ilvl="4">
      <w:start w:val="1"/>
      <w:numFmt w:val="none"/>
      <w:lvlText w:val=""/>
      <w:lvlJc w:val="left"/>
      <w:pPr>
        <w:tabs>
          <w:tab w:val="num" w:pos="1494"/>
        </w:tabs>
        <w:ind w:left="1494" w:hanging="1134"/>
      </w:pPr>
      <w:rPr>
        <w:rFonts w:hint="default"/>
      </w:rPr>
    </w:lvl>
    <w:lvl w:ilvl="5">
      <w:start w:val="1"/>
      <w:numFmt w:val="none"/>
      <w:lvlText w:val=""/>
      <w:lvlJc w:val="left"/>
      <w:pPr>
        <w:tabs>
          <w:tab w:val="num" w:pos="2061"/>
        </w:tabs>
        <w:ind w:left="2061" w:hanging="1701"/>
      </w:pPr>
      <w:rPr>
        <w:rFonts w:hint="default"/>
      </w:rPr>
    </w:lvl>
    <w:lvl w:ilvl="6">
      <w:start w:val="1"/>
      <w:numFmt w:val="none"/>
      <w:lvlText w:val="%7"/>
      <w:lvlJc w:val="left"/>
      <w:pPr>
        <w:tabs>
          <w:tab w:val="num" w:pos="927"/>
        </w:tabs>
        <w:ind w:left="927" w:hanging="567"/>
      </w:pPr>
      <w:rPr>
        <w:rFonts w:hint="default"/>
      </w:rPr>
    </w:lvl>
    <w:lvl w:ilvl="7">
      <w:start w:val="1"/>
      <w:numFmt w:val="none"/>
      <w:lvlRestart w:val="0"/>
      <w:lvlText w:val="%8"/>
      <w:lvlJc w:val="left"/>
      <w:pPr>
        <w:tabs>
          <w:tab w:val="num" w:pos="1494"/>
        </w:tabs>
        <w:ind w:left="1494" w:hanging="1134"/>
      </w:pPr>
      <w:rPr>
        <w:rFonts w:hint="default"/>
      </w:rPr>
    </w:lvl>
    <w:lvl w:ilvl="8">
      <w:start w:val="1"/>
      <w:numFmt w:val="none"/>
      <w:lvlRestart w:val="0"/>
      <w:lvlText w:val="%9"/>
      <w:lvlJc w:val="left"/>
      <w:pPr>
        <w:tabs>
          <w:tab w:val="num" w:pos="2061"/>
        </w:tabs>
        <w:ind w:left="2061" w:hanging="1701"/>
      </w:pPr>
      <w:rPr>
        <w:rFonts w:hint="default"/>
      </w:rPr>
    </w:lvl>
  </w:abstractNum>
  <w:abstractNum w:abstractNumId="4" w15:restartNumberingAfterBreak="0">
    <w:nsid w:val="67EB6F1F"/>
    <w:multiLevelType w:val="hybridMultilevel"/>
    <w:tmpl w:val="9022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9F0CCC"/>
    <w:multiLevelType w:val="hybridMultilevel"/>
    <w:tmpl w:val="30CC7BCC"/>
    <w:lvl w:ilvl="0" w:tplc="395279D0">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6153434">
    <w:abstractNumId w:val="1"/>
  </w:num>
  <w:num w:numId="2" w16cid:durableId="580263637">
    <w:abstractNumId w:val="3"/>
  </w:num>
  <w:num w:numId="3" w16cid:durableId="1847593831">
    <w:abstractNumId w:val="1"/>
  </w:num>
  <w:num w:numId="4" w16cid:durableId="1963146903">
    <w:abstractNumId w:val="1"/>
  </w:num>
  <w:num w:numId="5" w16cid:durableId="146171000">
    <w:abstractNumId w:val="1"/>
  </w:num>
  <w:num w:numId="6" w16cid:durableId="369188917">
    <w:abstractNumId w:val="3"/>
  </w:num>
  <w:num w:numId="7" w16cid:durableId="464086535">
    <w:abstractNumId w:val="1"/>
  </w:num>
  <w:num w:numId="8" w16cid:durableId="90855137">
    <w:abstractNumId w:val="1"/>
  </w:num>
  <w:num w:numId="9" w16cid:durableId="1264846671">
    <w:abstractNumId w:val="1"/>
  </w:num>
  <w:num w:numId="10" w16cid:durableId="2005929689">
    <w:abstractNumId w:val="3"/>
  </w:num>
  <w:num w:numId="11" w16cid:durableId="523902718">
    <w:abstractNumId w:val="1"/>
  </w:num>
  <w:num w:numId="12" w16cid:durableId="696154601">
    <w:abstractNumId w:val="1"/>
  </w:num>
  <w:num w:numId="13" w16cid:durableId="238295618">
    <w:abstractNumId w:val="5"/>
  </w:num>
  <w:num w:numId="14" w16cid:durableId="2099476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3693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3516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84349">
    <w:abstractNumId w:val="4"/>
  </w:num>
  <w:num w:numId="18" w16cid:durableId="1476213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1451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8980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6177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6898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9571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38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12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862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5203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9952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077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0732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1081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42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0215017">
    <w:abstractNumId w:val="2"/>
  </w:num>
  <w:num w:numId="34" w16cid:durableId="1590430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4471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4338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277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3841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2607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848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67"/>
    <w:rsid w:val="000001A4"/>
    <w:rsid w:val="00001CEC"/>
    <w:rsid w:val="00003313"/>
    <w:rsid w:val="0000385A"/>
    <w:rsid w:val="00005927"/>
    <w:rsid w:val="000072E0"/>
    <w:rsid w:val="00010C57"/>
    <w:rsid w:val="00010CB0"/>
    <w:rsid w:val="000111ED"/>
    <w:rsid w:val="00011C5D"/>
    <w:rsid w:val="00013876"/>
    <w:rsid w:val="000179F1"/>
    <w:rsid w:val="00017D20"/>
    <w:rsid w:val="000244AD"/>
    <w:rsid w:val="00024EE5"/>
    <w:rsid w:val="00025FD4"/>
    <w:rsid w:val="00032715"/>
    <w:rsid w:val="00037C84"/>
    <w:rsid w:val="000409C9"/>
    <w:rsid w:val="00040A7A"/>
    <w:rsid w:val="00040C22"/>
    <w:rsid w:val="000421D0"/>
    <w:rsid w:val="00050D46"/>
    <w:rsid w:val="000573D9"/>
    <w:rsid w:val="00060DBA"/>
    <w:rsid w:val="00061259"/>
    <w:rsid w:val="0006412D"/>
    <w:rsid w:val="0006431C"/>
    <w:rsid w:val="00072299"/>
    <w:rsid w:val="0007583A"/>
    <w:rsid w:val="000815E8"/>
    <w:rsid w:val="00087E61"/>
    <w:rsid w:val="00090521"/>
    <w:rsid w:val="00090569"/>
    <w:rsid w:val="000919BC"/>
    <w:rsid w:val="000952FD"/>
    <w:rsid w:val="0009726A"/>
    <w:rsid w:val="000A0B4D"/>
    <w:rsid w:val="000A3893"/>
    <w:rsid w:val="000A5213"/>
    <w:rsid w:val="000A697A"/>
    <w:rsid w:val="000B3A05"/>
    <w:rsid w:val="000B3CED"/>
    <w:rsid w:val="000B4B8F"/>
    <w:rsid w:val="000C0543"/>
    <w:rsid w:val="000C0EDC"/>
    <w:rsid w:val="000C1275"/>
    <w:rsid w:val="000C3130"/>
    <w:rsid w:val="000C37B7"/>
    <w:rsid w:val="000C49FA"/>
    <w:rsid w:val="000C4C91"/>
    <w:rsid w:val="000C6711"/>
    <w:rsid w:val="000C7820"/>
    <w:rsid w:val="000C7C2C"/>
    <w:rsid w:val="000D04D5"/>
    <w:rsid w:val="000D2B9A"/>
    <w:rsid w:val="000D417D"/>
    <w:rsid w:val="000D770C"/>
    <w:rsid w:val="000E2911"/>
    <w:rsid w:val="000E3E31"/>
    <w:rsid w:val="000E7B8E"/>
    <w:rsid w:val="000E7BA2"/>
    <w:rsid w:val="000F2A87"/>
    <w:rsid w:val="000F3138"/>
    <w:rsid w:val="001023AD"/>
    <w:rsid w:val="001054E6"/>
    <w:rsid w:val="0010608B"/>
    <w:rsid w:val="001119BA"/>
    <w:rsid w:val="00113053"/>
    <w:rsid w:val="00114738"/>
    <w:rsid w:val="00115687"/>
    <w:rsid w:val="00115EE4"/>
    <w:rsid w:val="00116B2D"/>
    <w:rsid w:val="00134393"/>
    <w:rsid w:val="00134C25"/>
    <w:rsid w:val="00140BA9"/>
    <w:rsid w:val="001430CC"/>
    <w:rsid w:val="001449F1"/>
    <w:rsid w:val="0014733E"/>
    <w:rsid w:val="00153E70"/>
    <w:rsid w:val="001554E2"/>
    <w:rsid w:val="00156407"/>
    <w:rsid w:val="00156596"/>
    <w:rsid w:val="00156A3E"/>
    <w:rsid w:val="001717C9"/>
    <w:rsid w:val="00174E3D"/>
    <w:rsid w:val="00177CE2"/>
    <w:rsid w:val="0018215C"/>
    <w:rsid w:val="0018257B"/>
    <w:rsid w:val="00184E4D"/>
    <w:rsid w:val="00185892"/>
    <w:rsid w:val="00185F0B"/>
    <w:rsid w:val="001904D1"/>
    <w:rsid w:val="001A30E2"/>
    <w:rsid w:val="001A3B96"/>
    <w:rsid w:val="001A6233"/>
    <w:rsid w:val="001A737D"/>
    <w:rsid w:val="001A7B99"/>
    <w:rsid w:val="001B020D"/>
    <w:rsid w:val="001B0C84"/>
    <w:rsid w:val="001B1009"/>
    <w:rsid w:val="001B1E50"/>
    <w:rsid w:val="001B2314"/>
    <w:rsid w:val="001B4317"/>
    <w:rsid w:val="001B4C80"/>
    <w:rsid w:val="001C6685"/>
    <w:rsid w:val="001C670E"/>
    <w:rsid w:val="001D117F"/>
    <w:rsid w:val="001D153B"/>
    <w:rsid w:val="001D2396"/>
    <w:rsid w:val="001D2423"/>
    <w:rsid w:val="001D2F4E"/>
    <w:rsid w:val="001D5AFB"/>
    <w:rsid w:val="001E011D"/>
    <w:rsid w:val="001E0371"/>
    <w:rsid w:val="001E3FE3"/>
    <w:rsid w:val="001E4CAE"/>
    <w:rsid w:val="001E6159"/>
    <w:rsid w:val="001E6B0A"/>
    <w:rsid w:val="001E75F8"/>
    <w:rsid w:val="001F1757"/>
    <w:rsid w:val="001F263A"/>
    <w:rsid w:val="00204C95"/>
    <w:rsid w:val="00204EFF"/>
    <w:rsid w:val="00207D3B"/>
    <w:rsid w:val="00210C9E"/>
    <w:rsid w:val="002112E5"/>
    <w:rsid w:val="00213D1C"/>
    <w:rsid w:val="00214E8A"/>
    <w:rsid w:val="00217CEE"/>
    <w:rsid w:val="002225B9"/>
    <w:rsid w:val="00223217"/>
    <w:rsid w:val="0022490D"/>
    <w:rsid w:val="00226F01"/>
    <w:rsid w:val="002302C4"/>
    <w:rsid w:val="00230F58"/>
    <w:rsid w:val="00230FE6"/>
    <w:rsid w:val="0023410F"/>
    <w:rsid w:val="0023596B"/>
    <w:rsid w:val="00236FC6"/>
    <w:rsid w:val="00237860"/>
    <w:rsid w:val="002442D4"/>
    <w:rsid w:val="0025334F"/>
    <w:rsid w:val="00254513"/>
    <w:rsid w:val="002566E0"/>
    <w:rsid w:val="00261943"/>
    <w:rsid w:val="00264270"/>
    <w:rsid w:val="00267F11"/>
    <w:rsid w:val="00273228"/>
    <w:rsid w:val="00280A18"/>
    <w:rsid w:val="0028568F"/>
    <w:rsid w:val="00286C02"/>
    <w:rsid w:val="002A04D3"/>
    <w:rsid w:val="002A2F7A"/>
    <w:rsid w:val="002A7A67"/>
    <w:rsid w:val="002B319E"/>
    <w:rsid w:val="002B4EA5"/>
    <w:rsid w:val="002B68B4"/>
    <w:rsid w:val="002C1693"/>
    <w:rsid w:val="002C2474"/>
    <w:rsid w:val="002D2E0C"/>
    <w:rsid w:val="002D6B08"/>
    <w:rsid w:val="002E162F"/>
    <w:rsid w:val="002E3D7E"/>
    <w:rsid w:val="002E750A"/>
    <w:rsid w:val="002F5869"/>
    <w:rsid w:val="00302A87"/>
    <w:rsid w:val="00305FA7"/>
    <w:rsid w:val="00310819"/>
    <w:rsid w:val="003113B7"/>
    <w:rsid w:val="0031264B"/>
    <w:rsid w:val="0031402E"/>
    <w:rsid w:val="00322F14"/>
    <w:rsid w:val="003241A1"/>
    <w:rsid w:val="003251D5"/>
    <w:rsid w:val="00325256"/>
    <w:rsid w:val="00330E5F"/>
    <w:rsid w:val="00333211"/>
    <w:rsid w:val="003335F8"/>
    <w:rsid w:val="00334B5A"/>
    <w:rsid w:val="0033661B"/>
    <w:rsid w:val="003368F0"/>
    <w:rsid w:val="00343F7F"/>
    <w:rsid w:val="00344D18"/>
    <w:rsid w:val="003541C9"/>
    <w:rsid w:val="00357221"/>
    <w:rsid w:val="00366C3A"/>
    <w:rsid w:val="00367070"/>
    <w:rsid w:val="00372668"/>
    <w:rsid w:val="00375B04"/>
    <w:rsid w:val="003760CA"/>
    <w:rsid w:val="00376AD2"/>
    <w:rsid w:val="00386F1A"/>
    <w:rsid w:val="00391409"/>
    <w:rsid w:val="003943C9"/>
    <w:rsid w:val="003A00EC"/>
    <w:rsid w:val="003A6758"/>
    <w:rsid w:val="003B1511"/>
    <w:rsid w:val="003B34C2"/>
    <w:rsid w:val="003B7041"/>
    <w:rsid w:val="003C0DFB"/>
    <w:rsid w:val="003C265D"/>
    <w:rsid w:val="003C5C12"/>
    <w:rsid w:val="003D15AB"/>
    <w:rsid w:val="003D5443"/>
    <w:rsid w:val="003D75B2"/>
    <w:rsid w:val="003E3A43"/>
    <w:rsid w:val="003E4A95"/>
    <w:rsid w:val="003E51AE"/>
    <w:rsid w:val="003E646E"/>
    <w:rsid w:val="003F0F1C"/>
    <w:rsid w:val="003F118F"/>
    <w:rsid w:val="003F4F0C"/>
    <w:rsid w:val="003F5542"/>
    <w:rsid w:val="003F5675"/>
    <w:rsid w:val="00400DDB"/>
    <w:rsid w:val="004078F8"/>
    <w:rsid w:val="00407D17"/>
    <w:rsid w:val="00417225"/>
    <w:rsid w:val="00420F9C"/>
    <w:rsid w:val="00422EFD"/>
    <w:rsid w:val="00426492"/>
    <w:rsid w:val="00427F42"/>
    <w:rsid w:val="00430957"/>
    <w:rsid w:val="00433EFA"/>
    <w:rsid w:val="00434254"/>
    <w:rsid w:val="00435D52"/>
    <w:rsid w:val="00443802"/>
    <w:rsid w:val="0044769D"/>
    <w:rsid w:val="00450C23"/>
    <w:rsid w:val="004516F1"/>
    <w:rsid w:val="004521ED"/>
    <w:rsid w:val="004536CB"/>
    <w:rsid w:val="004544F2"/>
    <w:rsid w:val="00454CCC"/>
    <w:rsid w:val="00455007"/>
    <w:rsid w:val="004573CC"/>
    <w:rsid w:val="004600BC"/>
    <w:rsid w:val="00460D66"/>
    <w:rsid w:val="00464647"/>
    <w:rsid w:val="004646E2"/>
    <w:rsid w:val="00466193"/>
    <w:rsid w:val="004705A0"/>
    <w:rsid w:val="00470C00"/>
    <w:rsid w:val="00474F12"/>
    <w:rsid w:val="0047502C"/>
    <w:rsid w:val="004751E9"/>
    <w:rsid w:val="00480759"/>
    <w:rsid w:val="00486215"/>
    <w:rsid w:val="00487ED9"/>
    <w:rsid w:val="00493BFD"/>
    <w:rsid w:val="004A30F0"/>
    <w:rsid w:val="004A6D3F"/>
    <w:rsid w:val="004A7E8A"/>
    <w:rsid w:val="004B1E84"/>
    <w:rsid w:val="004B2067"/>
    <w:rsid w:val="004B3223"/>
    <w:rsid w:val="004B59E6"/>
    <w:rsid w:val="004B5CB8"/>
    <w:rsid w:val="004C3A42"/>
    <w:rsid w:val="004D795C"/>
    <w:rsid w:val="004E26BA"/>
    <w:rsid w:val="004E4270"/>
    <w:rsid w:val="004E6072"/>
    <w:rsid w:val="004F38C3"/>
    <w:rsid w:val="004F7EBE"/>
    <w:rsid w:val="005119CA"/>
    <w:rsid w:val="00511C68"/>
    <w:rsid w:val="005120C9"/>
    <w:rsid w:val="0051679B"/>
    <w:rsid w:val="00524014"/>
    <w:rsid w:val="005253E0"/>
    <w:rsid w:val="00526823"/>
    <w:rsid w:val="005344D9"/>
    <w:rsid w:val="005346DF"/>
    <w:rsid w:val="00535139"/>
    <w:rsid w:val="00536807"/>
    <w:rsid w:val="00536BE2"/>
    <w:rsid w:val="005401B9"/>
    <w:rsid w:val="0054640A"/>
    <w:rsid w:val="00552973"/>
    <w:rsid w:val="00556E71"/>
    <w:rsid w:val="005613C0"/>
    <w:rsid w:val="00564FAF"/>
    <w:rsid w:val="0057274E"/>
    <w:rsid w:val="00582234"/>
    <w:rsid w:val="00586FFA"/>
    <w:rsid w:val="005944D0"/>
    <w:rsid w:val="0059470D"/>
    <w:rsid w:val="005948F1"/>
    <w:rsid w:val="005956F4"/>
    <w:rsid w:val="00596240"/>
    <w:rsid w:val="00597637"/>
    <w:rsid w:val="005A0D2F"/>
    <w:rsid w:val="005A1352"/>
    <w:rsid w:val="005A251A"/>
    <w:rsid w:val="005A371A"/>
    <w:rsid w:val="005A5749"/>
    <w:rsid w:val="005A6B10"/>
    <w:rsid w:val="005B3BCA"/>
    <w:rsid w:val="005B7994"/>
    <w:rsid w:val="005D09EC"/>
    <w:rsid w:val="005D1285"/>
    <w:rsid w:val="005D4963"/>
    <w:rsid w:val="005D5510"/>
    <w:rsid w:val="005E1BDC"/>
    <w:rsid w:val="005F11CA"/>
    <w:rsid w:val="005F3149"/>
    <w:rsid w:val="005F358F"/>
    <w:rsid w:val="005F705F"/>
    <w:rsid w:val="005F7E64"/>
    <w:rsid w:val="00603D0E"/>
    <w:rsid w:val="00605CA7"/>
    <w:rsid w:val="00610EBC"/>
    <w:rsid w:val="00613BD7"/>
    <w:rsid w:val="0061793B"/>
    <w:rsid w:val="006216B7"/>
    <w:rsid w:val="006250CE"/>
    <w:rsid w:val="00627100"/>
    <w:rsid w:val="00627328"/>
    <w:rsid w:val="00630490"/>
    <w:rsid w:val="006361E5"/>
    <w:rsid w:val="006404F7"/>
    <w:rsid w:val="006474E2"/>
    <w:rsid w:val="0065034C"/>
    <w:rsid w:val="00662120"/>
    <w:rsid w:val="00662642"/>
    <w:rsid w:val="00662654"/>
    <w:rsid w:val="0066794B"/>
    <w:rsid w:val="006715ED"/>
    <w:rsid w:val="00673496"/>
    <w:rsid w:val="006748CF"/>
    <w:rsid w:val="00691279"/>
    <w:rsid w:val="006933A6"/>
    <w:rsid w:val="006951FF"/>
    <w:rsid w:val="006A2C49"/>
    <w:rsid w:val="006A4F02"/>
    <w:rsid w:val="006A4F8B"/>
    <w:rsid w:val="006A6610"/>
    <w:rsid w:val="006A7110"/>
    <w:rsid w:val="006B114B"/>
    <w:rsid w:val="006B2E0B"/>
    <w:rsid w:val="006B39C4"/>
    <w:rsid w:val="006B4D01"/>
    <w:rsid w:val="006B5E77"/>
    <w:rsid w:val="006B7724"/>
    <w:rsid w:val="006C0AC0"/>
    <w:rsid w:val="006C54B6"/>
    <w:rsid w:val="006C6403"/>
    <w:rsid w:val="006D1552"/>
    <w:rsid w:val="006D3147"/>
    <w:rsid w:val="006D465B"/>
    <w:rsid w:val="006D6FF3"/>
    <w:rsid w:val="006E053F"/>
    <w:rsid w:val="006E0F04"/>
    <w:rsid w:val="006E2EE0"/>
    <w:rsid w:val="006E57CD"/>
    <w:rsid w:val="006E7833"/>
    <w:rsid w:val="006F4470"/>
    <w:rsid w:val="006F6FC1"/>
    <w:rsid w:val="00704421"/>
    <w:rsid w:val="00705E6C"/>
    <w:rsid w:val="00713D4C"/>
    <w:rsid w:val="007208BC"/>
    <w:rsid w:val="00724E3F"/>
    <w:rsid w:val="007261CD"/>
    <w:rsid w:val="00731C34"/>
    <w:rsid w:val="00732FEA"/>
    <w:rsid w:val="00744076"/>
    <w:rsid w:val="0074508D"/>
    <w:rsid w:val="007477CF"/>
    <w:rsid w:val="007569E1"/>
    <w:rsid w:val="00763FFD"/>
    <w:rsid w:val="0076479B"/>
    <w:rsid w:val="0076490E"/>
    <w:rsid w:val="00766340"/>
    <w:rsid w:val="00766BF2"/>
    <w:rsid w:val="00770C0E"/>
    <w:rsid w:val="00770EC2"/>
    <w:rsid w:val="00781BF5"/>
    <w:rsid w:val="007826BF"/>
    <w:rsid w:val="00784DE4"/>
    <w:rsid w:val="0078600D"/>
    <w:rsid w:val="00792A1A"/>
    <w:rsid w:val="00793C69"/>
    <w:rsid w:val="00797EE1"/>
    <w:rsid w:val="007A0AEB"/>
    <w:rsid w:val="007A185E"/>
    <w:rsid w:val="007A391F"/>
    <w:rsid w:val="007B0C20"/>
    <w:rsid w:val="007C06D5"/>
    <w:rsid w:val="007C49D1"/>
    <w:rsid w:val="007C7EFB"/>
    <w:rsid w:val="007D3844"/>
    <w:rsid w:val="007D6611"/>
    <w:rsid w:val="007E0A99"/>
    <w:rsid w:val="007E707A"/>
    <w:rsid w:val="007F5FD8"/>
    <w:rsid w:val="007F7CB2"/>
    <w:rsid w:val="00800E47"/>
    <w:rsid w:val="00810B61"/>
    <w:rsid w:val="00814DF3"/>
    <w:rsid w:val="008169F9"/>
    <w:rsid w:val="008209B4"/>
    <w:rsid w:val="00821200"/>
    <w:rsid w:val="00826E81"/>
    <w:rsid w:val="00830BD4"/>
    <w:rsid w:val="0083179C"/>
    <w:rsid w:val="008338A8"/>
    <w:rsid w:val="00833BC2"/>
    <w:rsid w:val="00834601"/>
    <w:rsid w:val="00837B78"/>
    <w:rsid w:val="00850159"/>
    <w:rsid w:val="00856268"/>
    <w:rsid w:val="008644D8"/>
    <w:rsid w:val="008671E6"/>
    <w:rsid w:val="00870FDD"/>
    <w:rsid w:val="0087130F"/>
    <w:rsid w:val="008825FA"/>
    <w:rsid w:val="00886133"/>
    <w:rsid w:val="0088798B"/>
    <w:rsid w:val="00890441"/>
    <w:rsid w:val="00893DA8"/>
    <w:rsid w:val="00896B2D"/>
    <w:rsid w:val="0089772B"/>
    <w:rsid w:val="008A1095"/>
    <w:rsid w:val="008A42A3"/>
    <w:rsid w:val="008A5640"/>
    <w:rsid w:val="008C70A1"/>
    <w:rsid w:val="008C78F8"/>
    <w:rsid w:val="008D179E"/>
    <w:rsid w:val="008D49EA"/>
    <w:rsid w:val="008E4719"/>
    <w:rsid w:val="008F1119"/>
    <w:rsid w:val="008F1F30"/>
    <w:rsid w:val="008F44C8"/>
    <w:rsid w:val="008F73FB"/>
    <w:rsid w:val="008F7B46"/>
    <w:rsid w:val="00900832"/>
    <w:rsid w:val="00902924"/>
    <w:rsid w:val="00910186"/>
    <w:rsid w:val="00917B93"/>
    <w:rsid w:val="00922E79"/>
    <w:rsid w:val="00924BDC"/>
    <w:rsid w:val="0093211B"/>
    <w:rsid w:val="00934A41"/>
    <w:rsid w:val="00935237"/>
    <w:rsid w:val="00936758"/>
    <w:rsid w:val="0094254E"/>
    <w:rsid w:val="0094288C"/>
    <w:rsid w:val="009433DB"/>
    <w:rsid w:val="009469B1"/>
    <w:rsid w:val="00952325"/>
    <w:rsid w:val="009603A4"/>
    <w:rsid w:val="00961854"/>
    <w:rsid w:val="00981B31"/>
    <w:rsid w:val="00983C09"/>
    <w:rsid w:val="00985FFD"/>
    <w:rsid w:val="00986D5C"/>
    <w:rsid w:val="00990CF7"/>
    <w:rsid w:val="00994E8F"/>
    <w:rsid w:val="009968A9"/>
    <w:rsid w:val="009A0337"/>
    <w:rsid w:val="009A0B3A"/>
    <w:rsid w:val="009A0ECE"/>
    <w:rsid w:val="009A397C"/>
    <w:rsid w:val="009A7ACD"/>
    <w:rsid w:val="009B275F"/>
    <w:rsid w:val="009B3F01"/>
    <w:rsid w:val="009B499D"/>
    <w:rsid w:val="009C582F"/>
    <w:rsid w:val="009D1ADE"/>
    <w:rsid w:val="009D28A6"/>
    <w:rsid w:val="009D5529"/>
    <w:rsid w:val="009D62DE"/>
    <w:rsid w:val="009D70E9"/>
    <w:rsid w:val="009D7FD4"/>
    <w:rsid w:val="009E4A80"/>
    <w:rsid w:val="009E65D9"/>
    <w:rsid w:val="009E6D2E"/>
    <w:rsid w:val="009F52B4"/>
    <w:rsid w:val="00A0020D"/>
    <w:rsid w:val="00A0032F"/>
    <w:rsid w:val="00A00E4D"/>
    <w:rsid w:val="00A01010"/>
    <w:rsid w:val="00A04605"/>
    <w:rsid w:val="00A0649C"/>
    <w:rsid w:val="00A06B2C"/>
    <w:rsid w:val="00A07F9F"/>
    <w:rsid w:val="00A11BFC"/>
    <w:rsid w:val="00A13AF0"/>
    <w:rsid w:val="00A160BC"/>
    <w:rsid w:val="00A20C01"/>
    <w:rsid w:val="00A2137A"/>
    <w:rsid w:val="00A300E5"/>
    <w:rsid w:val="00A348BF"/>
    <w:rsid w:val="00A36AE0"/>
    <w:rsid w:val="00A42C21"/>
    <w:rsid w:val="00A44016"/>
    <w:rsid w:val="00A50B96"/>
    <w:rsid w:val="00A531BE"/>
    <w:rsid w:val="00A56C16"/>
    <w:rsid w:val="00A62465"/>
    <w:rsid w:val="00A65757"/>
    <w:rsid w:val="00A66CE0"/>
    <w:rsid w:val="00A70262"/>
    <w:rsid w:val="00A7582F"/>
    <w:rsid w:val="00A7612F"/>
    <w:rsid w:val="00A77958"/>
    <w:rsid w:val="00A77FA2"/>
    <w:rsid w:val="00A807B6"/>
    <w:rsid w:val="00A8094E"/>
    <w:rsid w:val="00A81300"/>
    <w:rsid w:val="00A83A5F"/>
    <w:rsid w:val="00A84E8C"/>
    <w:rsid w:val="00A8680F"/>
    <w:rsid w:val="00A87198"/>
    <w:rsid w:val="00A92F39"/>
    <w:rsid w:val="00A943A0"/>
    <w:rsid w:val="00A945AE"/>
    <w:rsid w:val="00A95137"/>
    <w:rsid w:val="00A97DF7"/>
    <w:rsid w:val="00AA3471"/>
    <w:rsid w:val="00AA4712"/>
    <w:rsid w:val="00AA5DB7"/>
    <w:rsid w:val="00AA6D14"/>
    <w:rsid w:val="00AA6F11"/>
    <w:rsid w:val="00AB0F15"/>
    <w:rsid w:val="00AB18CC"/>
    <w:rsid w:val="00AB6BBA"/>
    <w:rsid w:val="00AB7E2E"/>
    <w:rsid w:val="00AC0DF9"/>
    <w:rsid w:val="00AC2E51"/>
    <w:rsid w:val="00AC3EEA"/>
    <w:rsid w:val="00AC73C0"/>
    <w:rsid w:val="00AD5681"/>
    <w:rsid w:val="00AD5990"/>
    <w:rsid w:val="00AE286C"/>
    <w:rsid w:val="00AE69B8"/>
    <w:rsid w:val="00AE7962"/>
    <w:rsid w:val="00AF4786"/>
    <w:rsid w:val="00AF6AAF"/>
    <w:rsid w:val="00B00DF0"/>
    <w:rsid w:val="00B05F45"/>
    <w:rsid w:val="00B06B96"/>
    <w:rsid w:val="00B132FB"/>
    <w:rsid w:val="00B13F60"/>
    <w:rsid w:val="00B16779"/>
    <w:rsid w:val="00B17A7A"/>
    <w:rsid w:val="00B242C8"/>
    <w:rsid w:val="00B24F35"/>
    <w:rsid w:val="00B26A5F"/>
    <w:rsid w:val="00B36F58"/>
    <w:rsid w:val="00B37D06"/>
    <w:rsid w:val="00B40725"/>
    <w:rsid w:val="00B4518A"/>
    <w:rsid w:val="00B45A16"/>
    <w:rsid w:val="00B46C0A"/>
    <w:rsid w:val="00B47370"/>
    <w:rsid w:val="00B505D2"/>
    <w:rsid w:val="00B5108C"/>
    <w:rsid w:val="00B51B15"/>
    <w:rsid w:val="00B5382D"/>
    <w:rsid w:val="00B6397A"/>
    <w:rsid w:val="00B65836"/>
    <w:rsid w:val="00B72766"/>
    <w:rsid w:val="00B7328C"/>
    <w:rsid w:val="00B736FF"/>
    <w:rsid w:val="00B751DE"/>
    <w:rsid w:val="00B768A9"/>
    <w:rsid w:val="00B81303"/>
    <w:rsid w:val="00B8159E"/>
    <w:rsid w:val="00B8377E"/>
    <w:rsid w:val="00B845BC"/>
    <w:rsid w:val="00B859A0"/>
    <w:rsid w:val="00B9248D"/>
    <w:rsid w:val="00BA09B4"/>
    <w:rsid w:val="00BA26A3"/>
    <w:rsid w:val="00BA2D2A"/>
    <w:rsid w:val="00BA37D0"/>
    <w:rsid w:val="00BA4089"/>
    <w:rsid w:val="00BA63A9"/>
    <w:rsid w:val="00BA6CAF"/>
    <w:rsid w:val="00BA7AB5"/>
    <w:rsid w:val="00BB2E8B"/>
    <w:rsid w:val="00BB3CBB"/>
    <w:rsid w:val="00BC5069"/>
    <w:rsid w:val="00BC631E"/>
    <w:rsid w:val="00BC7ACC"/>
    <w:rsid w:val="00BD06A8"/>
    <w:rsid w:val="00BD06B8"/>
    <w:rsid w:val="00BD4133"/>
    <w:rsid w:val="00BE17FF"/>
    <w:rsid w:val="00BE2802"/>
    <w:rsid w:val="00BE69CF"/>
    <w:rsid w:val="00BF3B18"/>
    <w:rsid w:val="00C00F3C"/>
    <w:rsid w:val="00C0142D"/>
    <w:rsid w:val="00C01D1F"/>
    <w:rsid w:val="00C02FE2"/>
    <w:rsid w:val="00C04A99"/>
    <w:rsid w:val="00C13C71"/>
    <w:rsid w:val="00C14716"/>
    <w:rsid w:val="00C1595F"/>
    <w:rsid w:val="00C20A13"/>
    <w:rsid w:val="00C24354"/>
    <w:rsid w:val="00C25A8D"/>
    <w:rsid w:val="00C30753"/>
    <w:rsid w:val="00C34EE5"/>
    <w:rsid w:val="00C363F7"/>
    <w:rsid w:val="00C40F90"/>
    <w:rsid w:val="00C4500D"/>
    <w:rsid w:val="00C47388"/>
    <w:rsid w:val="00C50381"/>
    <w:rsid w:val="00C51312"/>
    <w:rsid w:val="00C51C39"/>
    <w:rsid w:val="00C51D6C"/>
    <w:rsid w:val="00C5394C"/>
    <w:rsid w:val="00C60226"/>
    <w:rsid w:val="00C615B9"/>
    <w:rsid w:val="00C6357D"/>
    <w:rsid w:val="00C672D9"/>
    <w:rsid w:val="00C678F0"/>
    <w:rsid w:val="00C72E74"/>
    <w:rsid w:val="00C74BE0"/>
    <w:rsid w:val="00C74C97"/>
    <w:rsid w:val="00C75A39"/>
    <w:rsid w:val="00C760F0"/>
    <w:rsid w:val="00C76FC3"/>
    <w:rsid w:val="00C8558A"/>
    <w:rsid w:val="00C905C0"/>
    <w:rsid w:val="00C93B54"/>
    <w:rsid w:val="00C95445"/>
    <w:rsid w:val="00C966A1"/>
    <w:rsid w:val="00CA0306"/>
    <w:rsid w:val="00CA3F50"/>
    <w:rsid w:val="00CA762C"/>
    <w:rsid w:val="00CB16A3"/>
    <w:rsid w:val="00CB1DDC"/>
    <w:rsid w:val="00CC3397"/>
    <w:rsid w:val="00CC6113"/>
    <w:rsid w:val="00CC7BA6"/>
    <w:rsid w:val="00CD0C60"/>
    <w:rsid w:val="00CD1333"/>
    <w:rsid w:val="00CD2206"/>
    <w:rsid w:val="00CD5B05"/>
    <w:rsid w:val="00CD6B9D"/>
    <w:rsid w:val="00CE2578"/>
    <w:rsid w:val="00CE7FE1"/>
    <w:rsid w:val="00CF0B61"/>
    <w:rsid w:val="00CF3C59"/>
    <w:rsid w:val="00CF3C96"/>
    <w:rsid w:val="00CF65EA"/>
    <w:rsid w:val="00CF66C9"/>
    <w:rsid w:val="00D003E2"/>
    <w:rsid w:val="00D00733"/>
    <w:rsid w:val="00D011E8"/>
    <w:rsid w:val="00D02380"/>
    <w:rsid w:val="00D04E31"/>
    <w:rsid w:val="00D07736"/>
    <w:rsid w:val="00D12C77"/>
    <w:rsid w:val="00D14ADF"/>
    <w:rsid w:val="00D168DF"/>
    <w:rsid w:val="00D2167C"/>
    <w:rsid w:val="00D258DD"/>
    <w:rsid w:val="00D3627A"/>
    <w:rsid w:val="00D371FC"/>
    <w:rsid w:val="00D41492"/>
    <w:rsid w:val="00D41950"/>
    <w:rsid w:val="00D440C7"/>
    <w:rsid w:val="00D440CA"/>
    <w:rsid w:val="00D45B20"/>
    <w:rsid w:val="00D519DF"/>
    <w:rsid w:val="00D5322B"/>
    <w:rsid w:val="00D601DA"/>
    <w:rsid w:val="00D605EC"/>
    <w:rsid w:val="00D63315"/>
    <w:rsid w:val="00D63E01"/>
    <w:rsid w:val="00D6597A"/>
    <w:rsid w:val="00D72703"/>
    <w:rsid w:val="00D76F9B"/>
    <w:rsid w:val="00D821A4"/>
    <w:rsid w:val="00D82BD2"/>
    <w:rsid w:val="00D84BCB"/>
    <w:rsid w:val="00D84D12"/>
    <w:rsid w:val="00D8554A"/>
    <w:rsid w:val="00D90F7F"/>
    <w:rsid w:val="00D9699B"/>
    <w:rsid w:val="00DA14D9"/>
    <w:rsid w:val="00DA2AEB"/>
    <w:rsid w:val="00DA52CE"/>
    <w:rsid w:val="00DA5788"/>
    <w:rsid w:val="00DB08AD"/>
    <w:rsid w:val="00DB1B4F"/>
    <w:rsid w:val="00DB4585"/>
    <w:rsid w:val="00DB5452"/>
    <w:rsid w:val="00DB619E"/>
    <w:rsid w:val="00DC334E"/>
    <w:rsid w:val="00DC66C8"/>
    <w:rsid w:val="00DC6FA0"/>
    <w:rsid w:val="00DD49A4"/>
    <w:rsid w:val="00DD5718"/>
    <w:rsid w:val="00DD5AC6"/>
    <w:rsid w:val="00DE24FA"/>
    <w:rsid w:val="00DE7088"/>
    <w:rsid w:val="00DF0E5E"/>
    <w:rsid w:val="00DF7148"/>
    <w:rsid w:val="00DF7F45"/>
    <w:rsid w:val="00E103FF"/>
    <w:rsid w:val="00E109B9"/>
    <w:rsid w:val="00E134D2"/>
    <w:rsid w:val="00E14CE9"/>
    <w:rsid w:val="00E15DF6"/>
    <w:rsid w:val="00E17664"/>
    <w:rsid w:val="00E22A8C"/>
    <w:rsid w:val="00E30124"/>
    <w:rsid w:val="00E3065E"/>
    <w:rsid w:val="00E3194B"/>
    <w:rsid w:val="00E33D03"/>
    <w:rsid w:val="00E35E01"/>
    <w:rsid w:val="00E46FBC"/>
    <w:rsid w:val="00E502EC"/>
    <w:rsid w:val="00E512EB"/>
    <w:rsid w:val="00E51E7D"/>
    <w:rsid w:val="00E53B82"/>
    <w:rsid w:val="00E5615E"/>
    <w:rsid w:val="00E57E69"/>
    <w:rsid w:val="00E60CA2"/>
    <w:rsid w:val="00E6583E"/>
    <w:rsid w:val="00E7463C"/>
    <w:rsid w:val="00E75376"/>
    <w:rsid w:val="00E75AE0"/>
    <w:rsid w:val="00E76421"/>
    <w:rsid w:val="00E8067C"/>
    <w:rsid w:val="00E92529"/>
    <w:rsid w:val="00E92FB8"/>
    <w:rsid w:val="00E93257"/>
    <w:rsid w:val="00E93956"/>
    <w:rsid w:val="00E93CB0"/>
    <w:rsid w:val="00E94740"/>
    <w:rsid w:val="00E96310"/>
    <w:rsid w:val="00EA11CC"/>
    <w:rsid w:val="00EA1BA8"/>
    <w:rsid w:val="00EA2EE5"/>
    <w:rsid w:val="00EA45A3"/>
    <w:rsid w:val="00EA70FE"/>
    <w:rsid w:val="00EA795C"/>
    <w:rsid w:val="00EB20F4"/>
    <w:rsid w:val="00EB3340"/>
    <w:rsid w:val="00EB5F5E"/>
    <w:rsid w:val="00EC1331"/>
    <w:rsid w:val="00EC13B6"/>
    <w:rsid w:val="00EC3409"/>
    <w:rsid w:val="00EC4C1C"/>
    <w:rsid w:val="00EC4D66"/>
    <w:rsid w:val="00ED0731"/>
    <w:rsid w:val="00ED0D12"/>
    <w:rsid w:val="00ED2F66"/>
    <w:rsid w:val="00ED3AF8"/>
    <w:rsid w:val="00ED62E1"/>
    <w:rsid w:val="00EE390A"/>
    <w:rsid w:val="00EF2CA6"/>
    <w:rsid w:val="00EF31CD"/>
    <w:rsid w:val="00EF6937"/>
    <w:rsid w:val="00EF6D42"/>
    <w:rsid w:val="00F04C6E"/>
    <w:rsid w:val="00F0585D"/>
    <w:rsid w:val="00F12139"/>
    <w:rsid w:val="00F12202"/>
    <w:rsid w:val="00F16540"/>
    <w:rsid w:val="00F22C9B"/>
    <w:rsid w:val="00F24907"/>
    <w:rsid w:val="00F266DE"/>
    <w:rsid w:val="00F27472"/>
    <w:rsid w:val="00F33245"/>
    <w:rsid w:val="00F37F6B"/>
    <w:rsid w:val="00F45508"/>
    <w:rsid w:val="00F4696C"/>
    <w:rsid w:val="00F47BB0"/>
    <w:rsid w:val="00F503D1"/>
    <w:rsid w:val="00F50871"/>
    <w:rsid w:val="00F5292D"/>
    <w:rsid w:val="00F608CC"/>
    <w:rsid w:val="00F61103"/>
    <w:rsid w:val="00F62985"/>
    <w:rsid w:val="00F63354"/>
    <w:rsid w:val="00F65C72"/>
    <w:rsid w:val="00F660BF"/>
    <w:rsid w:val="00F667EE"/>
    <w:rsid w:val="00F67BF0"/>
    <w:rsid w:val="00F8203B"/>
    <w:rsid w:val="00F84E0D"/>
    <w:rsid w:val="00F8659A"/>
    <w:rsid w:val="00F87B98"/>
    <w:rsid w:val="00F93F4D"/>
    <w:rsid w:val="00F95FE6"/>
    <w:rsid w:val="00FB6038"/>
    <w:rsid w:val="00FB7041"/>
    <w:rsid w:val="00FB7985"/>
    <w:rsid w:val="00FD0E4A"/>
    <w:rsid w:val="00FD1533"/>
    <w:rsid w:val="00FD1CA3"/>
    <w:rsid w:val="00FD4675"/>
    <w:rsid w:val="00FD4804"/>
    <w:rsid w:val="00FF1CDA"/>
    <w:rsid w:val="00FF4DC7"/>
    <w:rsid w:val="00FF7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3D89C"/>
  <w15:docId w15:val="{282398CF-6405-43A9-9A85-C1912C6C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E57E69"/>
    <w:pPr>
      <w:spacing w:after="240"/>
    </w:pPr>
  </w:style>
  <w:style w:type="paragraph" w:styleId="Heading1">
    <w:name w:val="heading 1"/>
    <w:next w:val="Text"/>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Text"/>
    <w:link w:val="Heading2Char"/>
    <w:qFormat/>
    <w:rsid w:val="00B46C0A"/>
    <w:pPr>
      <w:spacing w:after="200"/>
      <w:outlineLvl w:val="1"/>
    </w:pPr>
    <w:rPr>
      <w:rFonts w:cs="Arial"/>
      <w:iCs/>
      <w:sz w:val="28"/>
    </w:rPr>
  </w:style>
  <w:style w:type="paragraph" w:styleId="Heading3">
    <w:name w:val="heading 3"/>
    <w:basedOn w:val="Heading2"/>
    <w:next w:val="Text"/>
    <w:link w:val="Heading3Char"/>
    <w:qFormat/>
    <w:rsid w:val="00B46C0A"/>
    <w:pPr>
      <w:outlineLvl w:val="2"/>
    </w:pPr>
    <w:rPr>
      <w:sz w:val="20"/>
      <w:szCs w:val="26"/>
    </w:rPr>
  </w:style>
  <w:style w:type="paragraph" w:styleId="Heading4">
    <w:name w:val="heading 4"/>
    <w:basedOn w:val="Heading3"/>
    <w:next w:val="Text"/>
    <w:link w:val="Heading4Char"/>
    <w:qFormat/>
    <w:rsid w:val="00B46C0A"/>
    <w:pPr>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B46C0A"/>
    <w:rPr>
      <w:rFonts w:ascii="Arial" w:hAnsi="Arial" w:cs="Arial"/>
      <w:b/>
      <w:bCs/>
      <w:iCs/>
      <w:caps/>
      <w:color w:val="000000"/>
      <w:sz w:val="20"/>
      <w:szCs w:val="26"/>
    </w:rPr>
  </w:style>
  <w:style w:type="character" w:customStyle="1" w:styleId="Heading4Char">
    <w:name w:val="Heading 4 Char"/>
    <w:basedOn w:val="DefaultParagraphFont"/>
    <w:link w:val="Heading4"/>
    <w:rsid w:val="00B46C0A"/>
    <w:rPr>
      <w:rFonts w:ascii="Arial" w:hAnsi="Arial" w:cs="Arial"/>
      <w:b/>
      <w:bCs/>
      <w:i/>
      <w:iCs/>
      <w:caps/>
      <w:color w:val="000000"/>
      <w:sz w:val="20"/>
      <w:szCs w:val="28"/>
    </w:rPr>
  </w:style>
  <w:style w:type="paragraph" w:customStyle="1" w:styleId="Text">
    <w:name w:val="Text"/>
    <w:qFormat/>
    <w:rsid w:val="00B46C0A"/>
    <w:pPr>
      <w:spacing w:after="200"/>
    </w:pPr>
    <w:rPr>
      <w:rFonts w:eastAsiaTheme="minorHAnsi" w:cstheme="minorBidi"/>
      <w:lang w:eastAsia="en-US"/>
    </w:rPr>
  </w:style>
  <w:style w:type="paragraph" w:customStyle="1" w:styleId="FirstLevel">
    <w:name w:val="FirstLevel"/>
    <w:basedOn w:val="Normal"/>
    <w:qFormat/>
    <w:rsid w:val="00B51B15"/>
    <w:pPr>
      <w:numPr>
        <w:ilvl w:val="1"/>
        <w:numId w:val="12"/>
      </w:numPr>
      <w:spacing w:after="120"/>
      <w:ind w:left="567"/>
    </w:pPr>
    <w:rPr>
      <w:rFonts w:eastAsiaTheme="minorHAnsi" w:cstheme="minorBidi"/>
      <w:lang w:eastAsia="en-US"/>
    </w:rPr>
  </w:style>
  <w:style w:type="paragraph" w:customStyle="1" w:styleId="textdotpoint">
    <w:name w:val="text dot point"/>
    <w:basedOn w:val="Text"/>
    <w:qFormat/>
    <w:rsid w:val="00B46C0A"/>
    <w:pPr>
      <w:numPr>
        <w:numId w:val="10"/>
      </w:numPr>
      <w:spacing w:after="60"/>
    </w:pPr>
  </w:style>
  <w:style w:type="paragraph" w:customStyle="1" w:styleId="Notes">
    <w:name w:val="Notes"/>
    <w:basedOn w:val="Normal"/>
    <w:qFormat/>
    <w:rsid w:val="00B46C0A"/>
    <w:pPr>
      <w:ind w:left="720" w:hanging="720"/>
    </w:pPr>
    <w:rPr>
      <w:sz w:val="18"/>
    </w:rPr>
  </w:style>
  <w:style w:type="paragraph" w:customStyle="1" w:styleId="SecondLevel">
    <w:name w:val="SecondLevel"/>
    <w:basedOn w:val="FirstLevel"/>
    <w:qFormat/>
    <w:rsid w:val="00B46C0A"/>
    <w:pPr>
      <w:numPr>
        <w:ilvl w:val="2"/>
      </w:numPr>
    </w:pPr>
  </w:style>
  <w:style w:type="paragraph" w:customStyle="1" w:styleId="ThirdLevel">
    <w:name w:val="ThirdLevel"/>
    <w:basedOn w:val="SecondLevel"/>
    <w:qFormat/>
    <w:rsid w:val="00B46C0A"/>
    <w:pPr>
      <w:numPr>
        <w:ilvl w:val="3"/>
      </w:numPr>
    </w:pPr>
  </w:style>
  <w:style w:type="paragraph" w:customStyle="1" w:styleId="Heading">
    <w:name w:val="Heading"/>
    <w:basedOn w:val="Normal"/>
    <w:next w:val="Text"/>
    <w:qFormat/>
    <w:rsid w:val="00B46C0A"/>
    <w:pPr>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B46C0A"/>
    <w:pPr>
      <w:tabs>
        <w:tab w:val="left" w:pos="600"/>
        <w:tab w:val="right" w:leader="dot" w:pos="7926"/>
      </w:tabs>
      <w:spacing w:after="0"/>
      <w:ind w:left="198"/>
    </w:pPr>
    <w:rPr>
      <w:sz w:val="18"/>
      <w:szCs w:val="22"/>
    </w:rPr>
  </w:style>
  <w:style w:type="paragraph" w:styleId="TOC3">
    <w:name w:val="toc 3"/>
    <w:basedOn w:val="Normal"/>
    <w:next w:val="Normal"/>
    <w:autoRedefine/>
    <w:rsid w:val="00B46C0A"/>
    <w:pPr>
      <w:ind w:left="400"/>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B46C0A"/>
    <w:pPr>
      <w:tabs>
        <w:tab w:val="center" w:pos="4320"/>
        <w:tab w:val="right" w:pos="8640"/>
      </w:tabs>
    </w:pPr>
  </w:style>
  <w:style w:type="character" w:customStyle="1" w:styleId="FooterChar">
    <w:name w:val="Footer Char"/>
    <w:basedOn w:val="DefaultParagraphFont"/>
    <w:link w:val="Footer"/>
    <w:rsid w:val="00B46C0A"/>
    <w:rPr>
      <w:rFonts w:ascii="Arial" w:hAnsi="Arial"/>
      <w:sz w:val="20"/>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PolicyClause2">
    <w:name w:val="Policy Clause (2)"/>
    <w:locked/>
    <w:rsid w:val="00B46C0A"/>
    <w:pPr>
      <w:tabs>
        <w:tab w:val="right" w:pos="794"/>
      </w:tabs>
      <w:spacing w:before="180" w:line="260" w:lineRule="exact"/>
      <w:ind w:left="964" w:hanging="964"/>
    </w:pPr>
    <w:rPr>
      <w:sz w:val="21"/>
      <w:szCs w:val="22"/>
      <w:lang w:eastAsia="en-US"/>
    </w:rPr>
  </w:style>
  <w:style w:type="character" w:styleId="FollowedHyperlink">
    <w:name w:val="FollowedHyperlink"/>
    <w:basedOn w:val="DefaultParagraphFont"/>
    <w:locked/>
    <w:rsid w:val="005F358F"/>
    <w:rPr>
      <w:color w:val="800080" w:themeColor="followedHyperlink"/>
      <w:u w:val="single"/>
    </w:rPr>
  </w:style>
  <w:style w:type="character" w:styleId="CommentReference">
    <w:name w:val="annotation reference"/>
    <w:basedOn w:val="DefaultParagraphFont"/>
    <w:locked/>
    <w:rsid w:val="00C60226"/>
    <w:rPr>
      <w:sz w:val="16"/>
      <w:szCs w:val="16"/>
    </w:rPr>
  </w:style>
  <w:style w:type="paragraph" w:styleId="CommentText">
    <w:name w:val="annotation text"/>
    <w:basedOn w:val="Normal"/>
    <w:link w:val="CommentTextChar"/>
    <w:locked/>
    <w:rsid w:val="00C60226"/>
  </w:style>
  <w:style w:type="character" w:customStyle="1" w:styleId="CommentTextChar">
    <w:name w:val="Comment Text Char"/>
    <w:basedOn w:val="DefaultParagraphFont"/>
    <w:link w:val="CommentText"/>
    <w:rsid w:val="00C60226"/>
  </w:style>
  <w:style w:type="paragraph" w:styleId="CommentSubject">
    <w:name w:val="annotation subject"/>
    <w:basedOn w:val="CommentText"/>
    <w:next w:val="CommentText"/>
    <w:link w:val="CommentSubjectChar"/>
    <w:locked/>
    <w:rsid w:val="00C60226"/>
    <w:rPr>
      <w:b/>
      <w:bCs/>
    </w:rPr>
  </w:style>
  <w:style w:type="character" w:customStyle="1" w:styleId="CommentSubjectChar">
    <w:name w:val="Comment Subject Char"/>
    <w:basedOn w:val="CommentTextChar"/>
    <w:link w:val="CommentSubject"/>
    <w:rsid w:val="00C60226"/>
    <w:rPr>
      <w:b/>
      <w:bCs/>
    </w:rPr>
  </w:style>
  <w:style w:type="paragraph" w:customStyle="1" w:styleId="Default">
    <w:name w:val="Default"/>
    <w:rsid w:val="00B72766"/>
    <w:pPr>
      <w:autoSpaceDE w:val="0"/>
      <w:autoSpaceDN w:val="0"/>
      <w:adjustRightInd w:val="0"/>
    </w:pPr>
    <w:rPr>
      <w:rFonts w:cs="Arial"/>
      <w:color w:val="000000"/>
      <w:sz w:val="24"/>
      <w:szCs w:val="24"/>
    </w:rPr>
  </w:style>
  <w:style w:type="paragraph" w:styleId="Revision">
    <w:name w:val="Revision"/>
    <w:hidden/>
    <w:uiPriority w:val="99"/>
    <w:semiHidden/>
    <w:rsid w:val="00744076"/>
  </w:style>
  <w:style w:type="character" w:styleId="UnresolvedMention">
    <w:name w:val="Unresolved Mention"/>
    <w:basedOn w:val="DefaultParagraphFont"/>
    <w:uiPriority w:val="99"/>
    <w:semiHidden/>
    <w:unhideWhenUsed/>
    <w:rsid w:val="0025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3354">
      <w:bodyDiv w:val="1"/>
      <w:marLeft w:val="0"/>
      <w:marRight w:val="0"/>
      <w:marTop w:val="0"/>
      <w:marBottom w:val="0"/>
      <w:divBdr>
        <w:top w:val="none" w:sz="0" w:space="0" w:color="auto"/>
        <w:left w:val="none" w:sz="0" w:space="0" w:color="auto"/>
        <w:bottom w:val="none" w:sz="0" w:space="0" w:color="auto"/>
        <w:right w:val="none" w:sz="0" w:space="0" w:color="auto"/>
      </w:divBdr>
    </w:div>
    <w:div w:id="19060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olicies/showdoc.aspx?recnum=PDOC2013/321&amp;RendNum=0" TargetMode="External"/><Relationship Id="rId13" Type="http://schemas.openxmlformats.org/officeDocument/2006/relationships/hyperlink" Target="http://sydney.edu.au/policies/showdoc.aspx?recnum=PDOC2011/226&amp;RendNum=0" TargetMode="External"/><Relationship Id="rId18" Type="http://schemas.openxmlformats.org/officeDocument/2006/relationships/hyperlink" Target="http://sydney.edu.au/policies/showdoc.aspx?recnum=PDOC2013/33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ydney.edu.au/policies/showdoc.aspx?recnum=PDOC2011/226" TargetMode="External"/><Relationship Id="rId7" Type="http://schemas.openxmlformats.org/officeDocument/2006/relationships/endnotes" Target="endnotes.xml"/><Relationship Id="rId12" Type="http://schemas.openxmlformats.org/officeDocument/2006/relationships/hyperlink" Target="http://sydney.edu.au/policies/showdoc.aspx?recnum=PDOC2016/418" TargetMode="External"/><Relationship Id="rId17" Type="http://schemas.openxmlformats.org/officeDocument/2006/relationships/hyperlink" Target="https://www.library.sydney.edu.au/support/copyrigh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dney.edu.au/policies/showdoc.aspx?recnum=PDOC2016/418" TargetMode="External"/><Relationship Id="rId20" Type="http://schemas.openxmlformats.org/officeDocument/2006/relationships/hyperlink" Target="http://sydney.edu.au/policies/showdoc.aspx?recnum=PDOC2011/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ney.edu.au/policies/showdoc.aspx?recnum=PDOC2011/92&amp;RendNum=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brary.sydney.edu.au/support/publishing/open-access" TargetMode="External"/><Relationship Id="rId23" Type="http://schemas.openxmlformats.org/officeDocument/2006/relationships/hyperlink" Target="https://library.sydney.edu.au/help/copyright/" TargetMode="External"/><Relationship Id="rId28" Type="http://schemas.openxmlformats.org/officeDocument/2006/relationships/theme" Target="theme/theme1.xml"/><Relationship Id="rId10" Type="http://schemas.openxmlformats.org/officeDocument/2006/relationships/hyperlink" Target="http://sydney.edu.au/policies/showdoc.aspx?recnum=PDOC2011/65&amp;RendNum=0" TargetMode="External"/><Relationship Id="rId19" Type="http://schemas.openxmlformats.org/officeDocument/2006/relationships/hyperlink" Target="http://sydney.edu.au/policies/showdoc.aspx?recnum=PDOC2013/321" TargetMode="External"/><Relationship Id="rId4" Type="http://schemas.openxmlformats.org/officeDocument/2006/relationships/settings" Target="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yperlink" Target="https://www.sydney.edu.au/policies/showdoc.aspx?recnum=PDOC2013/316&amp;RendNum=0" TargetMode="External"/><Relationship Id="rId22" Type="http://schemas.openxmlformats.org/officeDocument/2006/relationships/hyperlink" Target="http://sydney.edu.au/policies/showdoc.aspx?recnum=PDOC2011/22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Downloads\20120801-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D373-EA9F-4884-9A53-6AE4334A47E8}">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20120801-Policy-Template</Template>
  <TotalTime>21</TotalTime>
  <Pages>8</Pages>
  <Words>2097</Words>
  <Characters>14222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Open Access to University Research Policy 2015</vt:lpstr>
    </vt:vector>
  </TitlesOfParts>
  <Company>University of Sydney</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to University Research Policy 2015</dc:title>
  <dc:subject>Open Access to University Research Policy 2015</dc:subject>
  <dc:creator>policy.register@sydney.edu.au</dc:creator>
  <cp:lastModifiedBy>Rachel Symons</cp:lastModifiedBy>
  <cp:revision>3</cp:revision>
  <cp:lastPrinted>2021-10-11T13:20:00Z</cp:lastPrinted>
  <dcterms:created xsi:type="dcterms:W3CDTF">2024-02-08T22:58:00Z</dcterms:created>
  <dcterms:modified xsi:type="dcterms:W3CDTF">2024-02-08T23:18:00Z</dcterms:modified>
</cp:coreProperties>
</file>