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B25A" w14:textId="4717764C" w:rsidR="00E57E69" w:rsidRDefault="000342ED" w:rsidP="00E57E69">
      <w:pPr>
        <w:pStyle w:val="Heading1"/>
      </w:pPr>
      <w:bookmarkStart w:id="0" w:name="_Ref138475444"/>
      <w:bookmarkStart w:id="1" w:name="_Ref138477353"/>
      <w:bookmarkStart w:id="2" w:name="_Toc138496786"/>
      <w:r>
        <w:t xml:space="preserve">Under 18 </w:t>
      </w:r>
      <w:r w:rsidR="00952A4A">
        <w:t xml:space="preserve">INTERNATIONAL STUDENTS </w:t>
      </w:r>
      <w:r w:rsidR="00E57E69">
        <w:t xml:space="preserve">Policy </w:t>
      </w:r>
      <w:bookmarkEnd w:id="0"/>
      <w:bookmarkEnd w:id="1"/>
      <w:bookmarkEnd w:id="2"/>
      <w:r w:rsidR="00952A4A">
        <w:t>201</w:t>
      </w:r>
      <w:r w:rsidR="006925DD">
        <w:t>6</w:t>
      </w:r>
      <w:r w:rsidR="00E57E69">
        <w:t xml:space="preserve"> </w:t>
      </w:r>
    </w:p>
    <w:p w14:paraId="0ABC1392" w14:textId="77777777" w:rsidR="00E57E69" w:rsidRPr="00871E97" w:rsidRDefault="00E57E69" w:rsidP="00E57E69">
      <w:pPr>
        <w:pStyle w:val="Text"/>
      </w:pPr>
    </w:p>
    <w:p w14:paraId="6C477897" w14:textId="69E5ACA6" w:rsidR="00E57E69" w:rsidRDefault="00952A4A" w:rsidP="00E57E69">
      <w:pPr>
        <w:pStyle w:val="Text"/>
      </w:pPr>
      <w:r>
        <w:t>The Deputy Vice-Chancellor</w:t>
      </w:r>
      <w:r w:rsidR="00293C83">
        <w:t xml:space="preserve"> (</w:t>
      </w:r>
      <w:r w:rsidR="00932FE4">
        <w:t>Education</w:t>
      </w:r>
      <w:r w:rsidR="00293C83">
        <w:t>)</w:t>
      </w:r>
      <w:r w:rsidR="00E57E69">
        <w:t xml:space="preserve"> as delegate of the Senate of the University of Sydney, adopts the following policy.</w:t>
      </w:r>
    </w:p>
    <w:p w14:paraId="0CEA2DAC" w14:textId="0F179856" w:rsidR="00E57E69" w:rsidRDefault="00E57E69" w:rsidP="00E57E69">
      <w:pPr>
        <w:pStyle w:val="Text"/>
      </w:pPr>
      <w:r>
        <w:t>Dated:</w:t>
      </w:r>
      <w:r w:rsidR="00390801">
        <w:t xml:space="preserve"> </w:t>
      </w:r>
      <w:r w:rsidR="00C800AF">
        <w:tab/>
      </w:r>
      <w:r w:rsidR="00C800AF">
        <w:tab/>
      </w:r>
      <w:r w:rsidR="00390801">
        <w:t>6 June 2016</w:t>
      </w:r>
    </w:p>
    <w:p w14:paraId="1DFF8E45" w14:textId="6D8EED57" w:rsidR="00DC1354" w:rsidRDefault="00E57E69" w:rsidP="00E57E69">
      <w:pPr>
        <w:pStyle w:val="Text"/>
      </w:pPr>
      <w:r>
        <w:t>Last amended:</w:t>
      </w:r>
      <w:r w:rsidR="00B77668">
        <w:tab/>
      </w:r>
      <w:r w:rsidR="0080474C">
        <w:t>4 May 2018</w:t>
      </w:r>
    </w:p>
    <w:p w14:paraId="0EE6D9DB" w14:textId="38F07C23" w:rsidR="00E57E69" w:rsidRDefault="00293C83" w:rsidP="00DC1354">
      <w:pPr>
        <w:pStyle w:val="Text"/>
        <w:ind w:left="720" w:firstLine="720"/>
      </w:pPr>
      <w:r>
        <w:t>2</w:t>
      </w:r>
      <w:r w:rsidR="00772571">
        <w:t xml:space="preserve">4 </w:t>
      </w:r>
      <w:r>
        <w:t xml:space="preserve">March 2019 </w:t>
      </w:r>
      <w:r w:rsidR="00B77668">
        <w:t>(administrative amendments only)</w:t>
      </w:r>
    </w:p>
    <w:p w14:paraId="06816423" w14:textId="0613EEA7" w:rsidR="0042392B" w:rsidRDefault="00AE1299" w:rsidP="00AE1299">
      <w:pPr>
        <w:pStyle w:val="Text"/>
        <w:ind w:left="720" w:firstLine="720"/>
      </w:pPr>
      <w:r>
        <w:t>1</w:t>
      </w:r>
      <w:r w:rsidR="007A6457">
        <w:t xml:space="preserve"> </w:t>
      </w:r>
      <w:r>
        <w:t xml:space="preserve">August </w:t>
      </w:r>
      <w:r w:rsidR="00C7788D">
        <w:t>2019 (</w:t>
      </w:r>
      <w:r w:rsidR="0078523D">
        <w:t>administrative amendments)</w:t>
      </w:r>
    </w:p>
    <w:p w14:paraId="31FFEE94" w14:textId="77777777" w:rsidR="00C7788D" w:rsidRDefault="00C7788D" w:rsidP="00C7788D">
      <w:pPr>
        <w:pStyle w:val="Text"/>
        <w:ind w:left="720" w:firstLine="720"/>
      </w:pPr>
      <w:r>
        <w:t>14 April 2021 (administrative amendments)</w:t>
      </w:r>
    </w:p>
    <w:p w14:paraId="41678AA9" w14:textId="5521841D" w:rsidR="00C7788D" w:rsidRDefault="002E56BA" w:rsidP="00AE1299">
      <w:pPr>
        <w:pStyle w:val="Text"/>
        <w:ind w:left="720" w:firstLine="720"/>
      </w:pPr>
      <w:r>
        <w:t>16</w:t>
      </w:r>
      <w:r w:rsidR="003051C1">
        <w:t xml:space="preserve"> May 2023 (administrative amendments)</w:t>
      </w:r>
    </w:p>
    <w:p w14:paraId="0EFB4904" w14:textId="2657AC71" w:rsidR="00855C7B" w:rsidRDefault="00855C7B" w:rsidP="00AE1299">
      <w:pPr>
        <w:pStyle w:val="Text"/>
        <w:ind w:left="720" w:firstLine="720"/>
      </w:pPr>
      <w:r>
        <w:t>19 July 2023 (administrative amendments)</w:t>
      </w:r>
    </w:p>
    <w:p w14:paraId="3454CF65" w14:textId="3B8CCA97" w:rsidR="00C10C03" w:rsidRDefault="00C10C03" w:rsidP="00AE1299">
      <w:pPr>
        <w:pStyle w:val="Text"/>
        <w:ind w:left="720" w:firstLine="720"/>
      </w:pPr>
      <w:r>
        <w:t>1</w:t>
      </w:r>
      <w:r w:rsidR="006C11F1">
        <w:t>6</w:t>
      </w:r>
      <w:r>
        <w:t xml:space="preserve"> April 2024 (administrative amendments)</w:t>
      </w:r>
    </w:p>
    <w:p w14:paraId="18FA6D84" w14:textId="2AAAE5B4" w:rsidR="00B006D1" w:rsidRPr="00AE1299" w:rsidRDefault="00B006D1" w:rsidP="00AE1299">
      <w:pPr>
        <w:pStyle w:val="Text"/>
        <w:ind w:left="720" w:firstLine="720"/>
      </w:pPr>
      <w:r>
        <w:t>1 May 2024 (administrative amendments)</w:t>
      </w:r>
    </w:p>
    <w:p w14:paraId="49406D24" w14:textId="77777777" w:rsidR="00E57E69" w:rsidRDefault="00E57E69" w:rsidP="00E57E69">
      <w:pPr>
        <w:pStyle w:val="Text"/>
      </w:pPr>
      <w:r>
        <w:t>Signature:</w:t>
      </w:r>
    </w:p>
    <w:p w14:paraId="47A7DBF7" w14:textId="741662FC" w:rsidR="00E57E69" w:rsidRDefault="00932FE4" w:rsidP="00E57E69">
      <w:pPr>
        <w:pStyle w:val="Text"/>
      </w:pPr>
      <w:r>
        <w:t>Name</w:t>
      </w:r>
      <w:r w:rsidR="00E57E69">
        <w:t>:</w:t>
      </w:r>
      <w:r w:rsidR="00390801">
        <w:t xml:space="preserve"> </w:t>
      </w:r>
      <w:r w:rsidR="00C800AF">
        <w:tab/>
      </w:r>
      <w:r>
        <w:t>Professor Joanne Wright</w:t>
      </w:r>
    </w:p>
    <w:p w14:paraId="0DAE5D10" w14:textId="77777777" w:rsidR="00E57E69" w:rsidRDefault="00E57E69" w:rsidP="00E57E69">
      <w:r>
        <w:t>_____________________________________________________________________</w:t>
      </w:r>
    </w:p>
    <w:p w14:paraId="7534E97A" w14:textId="77777777" w:rsidR="00E57E69" w:rsidRDefault="00E57E69" w:rsidP="00E57E69">
      <w:pPr>
        <w:pStyle w:val="Heading2"/>
      </w:pPr>
      <w:bookmarkStart w:id="3" w:name="_Toc138496787"/>
      <w:r>
        <w:t xml:space="preserve">Contents </w:t>
      </w:r>
      <w:bookmarkEnd w:id="3"/>
    </w:p>
    <w:p w14:paraId="1A57A236" w14:textId="40C2EF47" w:rsidR="00151B1D" w:rsidRDefault="00B83073">
      <w:pPr>
        <w:pStyle w:val="TOC2"/>
        <w:rPr>
          <w:rFonts w:asciiTheme="minorHAnsi" w:eastAsiaTheme="minorEastAsia" w:hAnsiTheme="minorHAnsi" w:cstheme="minorBidi"/>
          <w:noProof/>
          <w:sz w:val="22"/>
        </w:rPr>
      </w:pPr>
      <w:r w:rsidRPr="009F1B83">
        <w:rPr>
          <w:rFonts w:cs="Arial"/>
          <w:szCs w:val="18"/>
        </w:rPr>
        <w:fldChar w:fldCharType="begin"/>
      </w:r>
      <w:r w:rsidR="00E57E69" w:rsidRPr="009F1B83">
        <w:rPr>
          <w:rFonts w:cs="Arial"/>
          <w:szCs w:val="18"/>
        </w:rPr>
        <w:instrText xml:space="preserve"> TOC \t "Heading,2" </w:instrText>
      </w:r>
      <w:r w:rsidRPr="009F1B83">
        <w:rPr>
          <w:rFonts w:cs="Arial"/>
          <w:szCs w:val="18"/>
        </w:rPr>
        <w:fldChar w:fldCharType="separate"/>
      </w:r>
      <w:r w:rsidR="00151B1D">
        <w:rPr>
          <w:noProof/>
        </w:rPr>
        <w:t>1</w:t>
      </w:r>
      <w:r w:rsidR="00151B1D">
        <w:rPr>
          <w:rFonts w:asciiTheme="minorHAnsi" w:eastAsiaTheme="minorEastAsia" w:hAnsiTheme="minorHAnsi" w:cstheme="minorBidi"/>
          <w:noProof/>
          <w:sz w:val="22"/>
        </w:rPr>
        <w:tab/>
      </w:r>
      <w:r w:rsidR="00151B1D">
        <w:rPr>
          <w:noProof/>
        </w:rPr>
        <w:t>Name of policy</w:t>
      </w:r>
      <w:r w:rsidR="00151B1D">
        <w:rPr>
          <w:noProof/>
        </w:rPr>
        <w:tab/>
      </w:r>
      <w:r w:rsidR="00151B1D">
        <w:rPr>
          <w:noProof/>
        </w:rPr>
        <w:fldChar w:fldCharType="begin"/>
      </w:r>
      <w:r w:rsidR="00151B1D">
        <w:rPr>
          <w:noProof/>
        </w:rPr>
        <w:instrText xml:space="preserve"> PAGEREF _Toc17105609 \h </w:instrText>
      </w:r>
      <w:r w:rsidR="00151B1D">
        <w:rPr>
          <w:noProof/>
        </w:rPr>
      </w:r>
      <w:r w:rsidR="00151B1D">
        <w:rPr>
          <w:noProof/>
        </w:rPr>
        <w:fldChar w:fldCharType="separate"/>
      </w:r>
      <w:r w:rsidR="00955A15">
        <w:rPr>
          <w:noProof/>
        </w:rPr>
        <w:t>1</w:t>
      </w:r>
      <w:r w:rsidR="00151B1D">
        <w:rPr>
          <w:noProof/>
        </w:rPr>
        <w:fldChar w:fldCharType="end"/>
      </w:r>
    </w:p>
    <w:p w14:paraId="2EF6B8E0" w14:textId="0437C2F7" w:rsidR="00151B1D" w:rsidRDefault="00151B1D">
      <w:pPr>
        <w:pStyle w:val="TOC2"/>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Commencement</w:t>
      </w:r>
      <w:r>
        <w:rPr>
          <w:noProof/>
        </w:rPr>
        <w:tab/>
      </w:r>
      <w:r>
        <w:rPr>
          <w:noProof/>
        </w:rPr>
        <w:fldChar w:fldCharType="begin"/>
      </w:r>
      <w:r>
        <w:rPr>
          <w:noProof/>
        </w:rPr>
        <w:instrText xml:space="preserve"> PAGEREF _Toc17105610 \h </w:instrText>
      </w:r>
      <w:r>
        <w:rPr>
          <w:noProof/>
        </w:rPr>
      </w:r>
      <w:r>
        <w:rPr>
          <w:noProof/>
        </w:rPr>
        <w:fldChar w:fldCharType="separate"/>
      </w:r>
      <w:r w:rsidR="00955A15">
        <w:rPr>
          <w:noProof/>
        </w:rPr>
        <w:t>1</w:t>
      </w:r>
      <w:r>
        <w:rPr>
          <w:noProof/>
        </w:rPr>
        <w:fldChar w:fldCharType="end"/>
      </w:r>
    </w:p>
    <w:p w14:paraId="4A1F3940" w14:textId="176ED77C" w:rsidR="00151B1D" w:rsidRDefault="00151B1D">
      <w:pPr>
        <w:pStyle w:val="TOC2"/>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Policy is binding</w:t>
      </w:r>
      <w:r>
        <w:rPr>
          <w:noProof/>
        </w:rPr>
        <w:tab/>
      </w:r>
      <w:r>
        <w:rPr>
          <w:noProof/>
        </w:rPr>
        <w:fldChar w:fldCharType="begin"/>
      </w:r>
      <w:r>
        <w:rPr>
          <w:noProof/>
        </w:rPr>
        <w:instrText xml:space="preserve"> PAGEREF _Toc17105611 \h </w:instrText>
      </w:r>
      <w:r>
        <w:rPr>
          <w:noProof/>
        </w:rPr>
      </w:r>
      <w:r>
        <w:rPr>
          <w:noProof/>
        </w:rPr>
        <w:fldChar w:fldCharType="separate"/>
      </w:r>
      <w:r w:rsidR="00955A15">
        <w:rPr>
          <w:noProof/>
        </w:rPr>
        <w:t>2</w:t>
      </w:r>
      <w:r>
        <w:rPr>
          <w:noProof/>
        </w:rPr>
        <w:fldChar w:fldCharType="end"/>
      </w:r>
    </w:p>
    <w:p w14:paraId="2AE417DB" w14:textId="41E0CFF5" w:rsidR="00151B1D" w:rsidRDefault="00151B1D">
      <w:pPr>
        <w:pStyle w:val="TOC2"/>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Statement of intent</w:t>
      </w:r>
      <w:r>
        <w:rPr>
          <w:noProof/>
        </w:rPr>
        <w:tab/>
      </w:r>
      <w:r>
        <w:rPr>
          <w:noProof/>
        </w:rPr>
        <w:fldChar w:fldCharType="begin"/>
      </w:r>
      <w:r>
        <w:rPr>
          <w:noProof/>
        </w:rPr>
        <w:instrText xml:space="preserve"> PAGEREF _Toc17105612 \h </w:instrText>
      </w:r>
      <w:r>
        <w:rPr>
          <w:noProof/>
        </w:rPr>
      </w:r>
      <w:r>
        <w:rPr>
          <w:noProof/>
        </w:rPr>
        <w:fldChar w:fldCharType="separate"/>
      </w:r>
      <w:r w:rsidR="00955A15">
        <w:rPr>
          <w:noProof/>
        </w:rPr>
        <w:t>2</w:t>
      </w:r>
      <w:r>
        <w:rPr>
          <w:noProof/>
        </w:rPr>
        <w:fldChar w:fldCharType="end"/>
      </w:r>
    </w:p>
    <w:p w14:paraId="0B73EA9A" w14:textId="7C84D463" w:rsidR="00151B1D" w:rsidRDefault="00151B1D">
      <w:pPr>
        <w:pStyle w:val="TOC2"/>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Application</w:t>
      </w:r>
      <w:r>
        <w:rPr>
          <w:noProof/>
        </w:rPr>
        <w:tab/>
      </w:r>
      <w:r>
        <w:rPr>
          <w:noProof/>
        </w:rPr>
        <w:fldChar w:fldCharType="begin"/>
      </w:r>
      <w:r>
        <w:rPr>
          <w:noProof/>
        </w:rPr>
        <w:instrText xml:space="preserve"> PAGEREF _Toc17105613 \h </w:instrText>
      </w:r>
      <w:r>
        <w:rPr>
          <w:noProof/>
        </w:rPr>
      </w:r>
      <w:r>
        <w:rPr>
          <w:noProof/>
        </w:rPr>
        <w:fldChar w:fldCharType="separate"/>
      </w:r>
      <w:r w:rsidR="00955A15">
        <w:rPr>
          <w:noProof/>
        </w:rPr>
        <w:t>2</w:t>
      </w:r>
      <w:r>
        <w:rPr>
          <w:noProof/>
        </w:rPr>
        <w:fldChar w:fldCharType="end"/>
      </w:r>
    </w:p>
    <w:p w14:paraId="78FBD8B4" w14:textId="13613C5F" w:rsidR="00151B1D" w:rsidRDefault="00151B1D">
      <w:pPr>
        <w:pStyle w:val="TOC2"/>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Pr>
          <w:noProof/>
        </w:rPr>
        <w:t>Definitions</w:t>
      </w:r>
      <w:r>
        <w:rPr>
          <w:noProof/>
        </w:rPr>
        <w:tab/>
      </w:r>
      <w:r>
        <w:rPr>
          <w:noProof/>
        </w:rPr>
        <w:fldChar w:fldCharType="begin"/>
      </w:r>
      <w:r>
        <w:rPr>
          <w:noProof/>
        </w:rPr>
        <w:instrText xml:space="preserve"> PAGEREF _Toc17105614 \h </w:instrText>
      </w:r>
      <w:r>
        <w:rPr>
          <w:noProof/>
        </w:rPr>
      </w:r>
      <w:r>
        <w:rPr>
          <w:noProof/>
        </w:rPr>
        <w:fldChar w:fldCharType="separate"/>
      </w:r>
      <w:r w:rsidR="00955A15">
        <w:rPr>
          <w:noProof/>
        </w:rPr>
        <w:t>2</w:t>
      </w:r>
      <w:r>
        <w:rPr>
          <w:noProof/>
        </w:rPr>
        <w:fldChar w:fldCharType="end"/>
      </w:r>
    </w:p>
    <w:p w14:paraId="70B56B85" w14:textId="3C0A9D30" w:rsidR="00151B1D" w:rsidRDefault="00151B1D">
      <w:pPr>
        <w:pStyle w:val="TOC2"/>
        <w:rPr>
          <w:rFonts w:asciiTheme="minorHAnsi" w:eastAsiaTheme="minorEastAsia" w:hAnsiTheme="minorHAnsi" w:cstheme="minorBidi"/>
          <w:noProof/>
          <w:sz w:val="22"/>
        </w:rPr>
      </w:pPr>
      <w:r>
        <w:rPr>
          <w:noProof/>
        </w:rPr>
        <w:t>7</w:t>
      </w:r>
      <w:r>
        <w:rPr>
          <w:rFonts w:asciiTheme="minorHAnsi" w:eastAsiaTheme="minorEastAsia" w:hAnsiTheme="minorHAnsi" w:cstheme="minorBidi"/>
          <w:noProof/>
          <w:sz w:val="22"/>
        </w:rPr>
        <w:tab/>
      </w:r>
      <w:r>
        <w:rPr>
          <w:noProof/>
        </w:rPr>
        <w:t>Enrolment of international students under 18 years of age</w:t>
      </w:r>
      <w:r>
        <w:rPr>
          <w:noProof/>
        </w:rPr>
        <w:tab/>
      </w:r>
      <w:r>
        <w:rPr>
          <w:noProof/>
        </w:rPr>
        <w:fldChar w:fldCharType="begin"/>
      </w:r>
      <w:r>
        <w:rPr>
          <w:noProof/>
        </w:rPr>
        <w:instrText xml:space="preserve"> PAGEREF _Toc17105615 \h </w:instrText>
      </w:r>
      <w:r>
        <w:rPr>
          <w:noProof/>
        </w:rPr>
      </w:r>
      <w:r>
        <w:rPr>
          <w:noProof/>
        </w:rPr>
        <w:fldChar w:fldCharType="separate"/>
      </w:r>
      <w:r w:rsidR="00955A15">
        <w:rPr>
          <w:noProof/>
        </w:rPr>
        <w:t>4</w:t>
      </w:r>
      <w:r>
        <w:rPr>
          <w:noProof/>
        </w:rPr>
        <w:fldChar w:fldCharType="end"/>
      </w:r>
    </w:p>
    <w:p w14:paraId="7AEAD083" w14:textId="09E086B7" w:rsidR="00151B1D" w:rsidRDefault="00151B1D">
      <w:pPr>
        <w:pStyle w:val="TOC2"/>
        <w:rPr>
          <w:rFonts w:asciiTheme="minorHAnsi" w:eastAsiaTheme="minorEastAsia" w:hAnsiTheme="minorHAnsi" w:cstheme="minorBidi"/>
          <w:noProof/>
          <w:sz w:val="22"/>
        </w:rPr>
      </w:pPr>
      <w:r>
        <w:rPr>
          <w:noProof/>
        </w:rPr>
        <w:t>8</w:t>
      </w:r>
      <w:r>
        <w:rPr>
          <w:rFonts w:asciiTheme="minorHAnsi" w:eastAsiaTheme="minorEastAsia" w:hAnsiTheme="minorHAnsi" w:cstheme="minorBidi"/>
          <w:noProof/>
          <w:sz w:val="22"/>
        </w:rPr>
        <w:tab/>
      </w:r>
      <w:r>
        <w:rPr>
          <w:noProof/>
        </w:rPr>
        <w:t>Checking and monitoring the suitability of arrangements</w:t>
      </w:r>
      <w:r>
        <w:rPr>
          <w:noProof/>
        </w:rPr>
        <w:tab/>
      </w:r>
      <w:r>
        <w:rPr>
          <w:noProof/>
        </w:rPr>
        <w:fldChar w:fldCharType="begin"/>
      </w:r>
      <w:r>
        <w:rPr>
          <w:noProof/>
        </w:rPr>
        <w:instrText xml:space="preserve"> PAGEREF _Toc17105616 \h </w:instrText>
      </w:r>
      <w:r>
        <w:rPr>
          <w:noProof/>
        </w:rPr>
      </w:r>
      <w:r>
        <w:rPr>
          <w:noProof/>
        </w:rPr>
        <w:fldChar w:fldCharType="separate"/>
      </w:r>
      <w:r w:rsidR="00955A15">
        <w:rPr>
          <w:noProof/>
        </w:rPr>
        <w:t>4</w:t>
      </w:r>
      <w:r>
        <w:rPr>
          <w:noProof/>
        </w:rPr>
        <w:fldChar w:fldCharType="end"/>
      </w:r>
    </w:p>
    <w:p w14:paraId="1D4E33E5" w14:textId="6DF76642" w:rsidR="00151B1D" w:rsidRDefault="00151B1D">
      <w:pPr>
        <w:pStyle w:val="TOC2"/>
        <w:rPr>
          <w:rFonts w:asciiTheme="minorHAnsi" w:eastAsiaTheme="minorEastAsia" w:hAnsiTheme="minorHAnsi" w:cstheme="minorBidi"/>
          <w:noProof/>
          <w:sz w:val="22"/>
        </w:rPr>
      </w:pPr>
      <w:r>
        <w:rPr>
          <w:noProof/>
        </w:rPr>
        <w:t>9</w:t>
      </w:r>
      <w:r>
        <w:rPr>
          <w:rFonts w:asciiTheme="minorHAnsi" w:eastAsiaTheme="minorEastAsia" w:hAnsiTheme="minorHAnsi" w:cstheme="minorBidi"/>
          <w:noProof/>
          <w:sz w:val="22"/>
        </w:rPr>
        <w:tab/>
      </w:r>
      <w:r>
        <w:rPr>
          <w:noProof/>
        </w:rPr>
        <w:t>Required agreements</w:t>
      </w:r>
      <w:r>
        <w:rPr>
          <w:noProof/>
        </w:rPr>
        <w:tab/>
      </w:r>
      <w:r>
        <w:rPr>
          <w:noProof/>
        </w:rPr>
        <w:fldChar w:fldCharType="begin"/>
      </w:r>
      <w:r>
        <w:rPr>
          <w:noProof/>
        </w:rPr>
        <w:instrText xml:space="preserve"> PAGEREF _Toc17105617 \h </w:instrText>
      </w:r>
      <w:r>
        <w:rPr>
          <w:noProof/>
        </w:rPr>
      </w:r>
      <w:r>
        <w:rPr>
          <w:noProof/>
        </w:rPr>
        <w:fldChar w:fldCharType="separate"/>
      </w:r>
      <w:r w:rsidR="00955A15">
        <w:rPr>
          <w:noProof/>
        </w:rPr>
        <w:t>5</w:t>
      </w:r>
      <w:r>
        <w:rPr>
          <w:noProof/>
        </w:rPr>
        <w:fldChar w:fldCharType="end"/>
      </w:r>
    </w:p>
    <w:p w14:paraId="5C2986DF" w14:textId="6B461472" w:rsidR="00151B1D" w:rsidRDefault="00151B1D">
      <w:pPr>
        <w:pStyle w:val="TOC2"/>
        <w:rPr>
          <w:rFonts w:asciiTheme="minorHAnsi" w:eastAsiaTheme="minorEastAsia" w:hAnsiTheme="minorHAnsi" w:cstheme="minorBidi"/>
          <w:noProof/>
          <w:sz w:val="22"/>
        </w:rPr>
      </w:pPr>
      <w:r>
        <w:rPr>
          <w:noProof/>
        </w:rPr>
        <w:t>10</w:t>
      </w:r>
      <w:r>
        <w:rPr>
          <w:rFonts w:asciiTheme="minorHAnsi" w:eastAsiaTheme="minorEastAsia" w:hAnsiTheme="minorHAnsi" w:cstheme="minorBidi"/>
          <w:noProof/>
          <w:sz w:val="22"/>
        </w:rPr>
        <w:tab/>
      </w:r>
      <w:r>
        <w:rPr>
          <w:noProof/>
        </w:rPr>
        <w:t>Termination, suspension and cancellation of enrolment</w:t>
      </w:r>
      <w:r>
        <w:rPr>
          <w:noProof/>
        </w:rPr>
        <w:tab/>
      </w:r>
      <w:r>
        <w:rPr>
          <w:noProof/>
        </w:rPr>
        <w:fldChar w:fldCharType="begin"/>
      </w:r>
      <w:r>
        <w:rPr>
          <w:noProof/>
        </w:rPr>
        <w:instrText xml:space="preserve"> PAGEREF _Toc17105618 \h </w:instrText>
      </w:r>
      <w:r>
        <w:rPr>
          <w:noProof/>
        </w:rPr>
      </w:r>
      <w:r>
        <w:rPr>
          <w:noProof/>
        </w:rPr>
        <w:fldChar w:fldCharType="separate"/>
      </w:r>
      <w:r w:rsidR="00955A15">
        <w:rPr>
          <w:noProof/>
        </w:rPr>
        <w:t>6</w:t>
      </w:r>
      <w:r>
        <w:rPr>
          <w:noProof/>
        </w:rPr>
        <w:fldChar w:fldCharType="end"/>
      </w:r>
    </w:p>
    <w:p w14:paraId="4027F912" w14:textId="4B425EE0" w:rsidR="00151B1D" w:rsidRDefault="00151B1D">
      <w:pPr>
        <w:pStyle w:val="TOC2"/>
        <w:rPr>
          <w:rFonts w:asciiTheme="minorHAnsi" w:eastAsiaTheme="minorEastAsia" w:hAnsiTheme="minorHAnsi" w:cstheme="minorBidi"/>
          <w:noProof/>
          <w:sz w:val="22"/>
        </w:rPr>
      </w:pPr>
      <w:r>
        <w:rPr>
          <w:noProof/>
        </w:rPr>
        <w:t>11</w:t>
      </w:r>
      <w:r>
        <w:rPr>
          <w:rFonts w:asciiTheme="minorHAnsi" w:eastAsiaTheme="minorEastAsia" w:hAnsiTheme="minorHAnsi" w:cstheme="minorBidi"/>
          <w:noProof/>
          <w:sz w:val="22"/>
        </w:rPr>
        <w:tab/>
      </w:r>
      <w:r>
        <w:rPr>
          <w:noProof/>
        </w:rPr>
        <w:t>Transfers to and from another registered education provider</w:t>
      </w:r>
      <w:r>
        <w:rPr>
          <w:noProof/>
        </w:rPr>
        <w:tab/>
      </w:r>
      <w:r>
        <w:rPr>
          <w:noProof/>
        </w:rPr>
        <w:fldChar w:fldCharType="begin"/>
      </w:r>
      <w:r>
        <w:rPr>
          <w:noProof/>
        </w:rPr>
        <w:instrText xml:space="preserve"> PAGEREF _Toc17105619 \h </w:instrText>
      </w:r>
      <w:r>
        <w:rPr>
          <w:noProof/>
        </w:rPr>
      </w:r>
      <w:r>
        <w:rPr>
          <w:noProof/>
        </w:rPr>
        <w:fldChar w:fldCharType="separate"/>
      </w:r>
      <w:r w:rsidR="00955A15">
        <w:rPr>
          <w:noProof/>
        </w:rPr>
        <w:t>6</w:t>
      </w:r>
      <w:r>
        <w:rPr>
          <w:noProof/>
        </w:rPr>
        <w:fldChar w:fldCharType="end"/>
      </w:r>
    </w:p>
    <w:p w14:paraId="588AFC22" w14:textId="1A7A9872" w:rsidR="00151B1D" w:rsidRDefault="00151B1D">
      <w:pPr>
        <w:pStyle w:val="TOC2"/>
        <w:rPr>
          <w:rFonts w:asciiTheme="minorHAnsi" w:eastAsiaTheme="minorEastAsia" w:hAnsiTheme="minorHAnsi" w:cstheme="minorBidi"/>
          <w:noProof/>
          <w:sz w:val="22"/>
        </w:rPr>
      </w:pPr>
      <w:r>
        <w:rPr>
          <w:noProof/>
        </w:rPr>
        <w:t>12</w:t>
      </w:r>
      <w:r>
        <w:rPr>
          <w:rFonts w:asciiTheme="minorHAnsi" w:eastAsiaTheme="minorEastAsia" w:hAnsiTheme="minorHAnsi" w:cstheme="minorBidi"/>
          <w:noProof/>
          <w:sz w:val="22"/>
        </w:rPr>
        <w:tab/>
      </w:r>
      <w:r>
        <w:rPr>
          <w:noProof/>
        </w:rPr>
        <w:t>Termination of welfare arrangements</w:t>
      </w:r>
      <w:r>
        <w:rPr>
          <w:noProof/>
        </w:rPr>
        <w:tab/>
      </w:r>
      <w:r>
        <w:rPr>
          <w:noProof/>
        </w:rPr>
        <w:fldChar w:fldCharType="begin"/>
      </w:r>
      <w:r>
        <w:rPr>
          <w:noProof/>
        </w:rPr>
        <w:instrText xml:space="preserve"> PAGEREF _Toc17105620 \h </w:instrText>
      </w:r>
      <w:r>
        <w:rPr>
          <w:noProof/>
        </w:rPr>
      </w:r>
      <w:r>
        <w:rPr>
          <w:noProof/>
        </w:rPr>
        <w:fldChar w:fldCharType="separate"/>
      </w:r>
      <w:r w:rsidR="00955A15">
        <w:rPr>
          <w:noProof/>
        </w:rPr>
        <w:t>7</w:t>
      </w:r>
      <w:r>
        <w:rPr>
          <w:noProof/>
        </w:rPr>
        <w:fldChar w:fldCharType="end"/>
      </w:r>
    </w:p>
    <w:p w14:paraId="66F780F6" w14:textId="14A5C274" w:rsidR="00151B1D" w:rsidRDefault="00151B1D">
      <w:pPr>
        <w:pStyle w:val="TOC2"/>
        <w:rPr>
          <w:rFonts w:asciiTheme="minorHAnsi" w:eastAsiaTheme="minorEastAsia" w:hAnsiTheme="minorHAnsi" w:cstheme="minorBidi"/>
          <w:noProof/>
          <w:sz w:val="22"/>
        </w:rPr>
      </w:pPr>
      <w:r>
        <w:rPr>
          <w:noProof/>
        </w:rPr>
        <w:t>13</w:t>
      </w:r>
      <w:r>
        <w:rPr>
          <w:rFonts w:asciiTheme="minorHAnsi" w:eastAsiaTheme="minorEastAsia" w:hAnsiTheme="minorHAnsi" w:cstheme="minorBidi"/>
          <w:noProof/>
          <w:sz w:val="22"/>
        </w:rPr>
        <w:tab/>
      </w:r>
      <w:r>
        <w:rPr>
          <w:noProof/>
        </w:rPr>
        <w:t>Compliance reviews</w:t>
      </w:r>
      <w:r>
        <w:rPr>
          <w:noProof/>
        </w:rPr>
        <w:tab/>
      </w:r>
      <w:r>
        <w:rPr>
          <w:noProof/>
        </w:rPr>
        <w:fldChar w:fldCharType="begin"/>
      </w:r>
      <w:r>
        <w:rPr>
          <w:noProof/>
        </w:rPr>
        <w:instrText xml:space="preserve"> PAGEREF _Toc17105621 \h </w:instrText>
      </w:r>
      <w:r>
        <w:rPr>
          <w:noProof/>
        </w:rPr>
      </w:r>
      <w:r>
        <w:rPr>
          <w:noProof/>
        </w:rPr>
        <w:fldChar w:fldCharType="separate"/>
      </w:r>
      <w:r w:rsidR="00955A15">
        <w:rPr>
          <w:noProof/>
        </w:rPr>
        <w:t>7</w:t>
      </w:r>
      <w:r>
        <w:rPr>
          <w:noProof/>
        </w:rPr>
        <w:fldChar w:fldCharType="end"/>
      </w:r>
    </w:p>
    <w:p w14:paraId="0707006C" w14:textId="3244F429" w:rsidR="00E57E69" w:rsidRDefault="00B83073" w:rsidP="00E57E69">
      <w:pPr>
        <w:pStyle w:val="TOC1"/>
        <w:tabs>
          <w:tab w:val="left" w:pos="600"/>
          <w:tab w:val="left" w:pos="851"/>
        </w:tabs>
        <w:spacing w:before="0" w:after="0"/>
      </w:pPr>
      <w:r w:rsidRPr="009F1B83">
        <w:rPr>
          <w:rFonts w:cs="Arial"/>
          <w:sz w:val="18"/>
          <w:szCs w:val="18"/>
        </w:rPr>
        <w:fldChar w:fldCharType="end"/>
      </w:r>
    </w:p>
    <w:p w14:paraId="32A7E961" w14:textId="337BB301" w:rsidR="00E57E69" w:rsidRDefault="0044003B" w:rsidP="00E57E69">
      <w:pPr>
        <w:pStyle w:val="Heading"/>
        <w:numPr>
          <w:ilvl w:val="0"/>
          <w:numId w:val="13"/>
        </w:numPr>
        <w:ind w:hanging="930"/>
        <w:outlineLvl w:val="0"/>
      </w:pPr>
      <w:bookmarkStart w:id="4" w:name="_Toc17105609"/>
      <w:r>
        <w:t>Name of p</w:t>
      </w:r>
      <w:r w:rsidR="00DB080E">
        <w:t>olicy</w:t>
      </w:r>
      <w:bookmarkEnd w:id="4"/>
    </w:p>
    <w:p w14:paraId="6EB10647" w14:textId="3B5B473E" w:rsidR="00E57E69" w:rsidRDefault="00952A4A" w:rsidP="00E57E69">
      <w:pPr>
        <w:pStyle w:val="Text"/>
      </w:pPr>
      <w:r>
        <w:t xml:space="preserve">This is the </w:t>
      </w:r>
      <w:r w:rsidR="000342ED">
        <w:t>Under 18</w:t>
      </w:r>
      <w:r w:rsidRPr="00BC69FB">
        <w:t xml:space="preserve"> International Students Policy 201</w:t>
      </w:r>
      <w:r w:rsidR="006925DD">
        <w:t>6</w:t>
      </w:r>
      <w:r w:rsidR="00E57E69">
        <w:t>.</w:t>
      </w:r>
    </w:p>
    <w:p w14:paraId="184ABC0B" w14:textId="77777777" w:rsidR="00E57E69" w:rsidRDefault="00E57E69" w:rsidP="00C10C03">
      <w:pPr>
        <w:pStyle w:val="Heading"/>
        <w:keepNext/>
        <w:keepLines/>
        <w:numPr>
          <w:ilvl w:val="0"/>
          <w:numId w:val="13"/>
        </w:numPr>
        <w:ind w:hanging="930"/>
        <w:outlineLvl w:val="0"/>
      </w:pPr>
      <w:bookmarkStart w:id="5" w:name="_Toc17105610"/>
      <w:r>
        <w:lastRenderedPageBreak/>
        <w:t>Commencement</w:t>
      </w:r>
      <w:bookmarkEnd w:id="5"/>
    </w:p>
    <w:p w14:paraId="061CBB5B" w14:textId="1C83C7E0" w:rsidR="00E57E69" w:rsidRDefault="00E57E69" w:rsidP="00C10C03">
      <w:pPr>
        <w:pStyle w:val="Text"/>
        <w:keepNext/>
        <w:keepLines/>
      </w:pPr>
      <w:r>
        <w:t>This policy commences on</w:t>
      </w:r>
      <w:r w:rsidR="00CF4DBB">
        <w:t xml:space="preserve"> 1 July 2016</w:t>
      </w:r>
    </w:p>
    <w:p w14:paraId="174C3EDE" w14:textId="77777777" w:rsidR="00E57E69" w:rsidRDefault="00E57E69" w:rsidP="008A1E3E">
      <w:pPr>
        <w:pStyle w:val="Heading"/>
        <w:keepNext/>
        <w:keepLines/>
        <w:widowControl w:val="0"/>
        <w:numPr>
          <w:ilvl w:val="0"/>
          <w:numId w:val="13"/>
        </w:numPr>
        <w:ind w:hanging="930"/>
        <w:outlineLvl w:val="0"/>
      </w:pPr>
      <w:bookmarkStart w:id="6" w:name="_Toc17105611"/>
      <w:r>
        <w:t>Policy is binding</w:t>
      </w:r>
      <w:bookmarkEnd w:id="6"/>
    </w:p>
    <w:p w14:paraId="631495F3" w14:textId="70AFD1FA" w:rsidR="00E57E69" w:rsidRDefault="00E57E69" w:rsidP="008A1E3E">
      <w:pPr>
        <w:pStyle w:val="Text"/>
        <w:keepNext/>
        <w:keepLines/>
        <w:widowControl w:val="0"/>
      </w:pPr>
      <w:r>
        <w:t xml:space="preserve">Except to the extent that a contrary intention is expressed, this policy binds the University, </w:t>
      </w:r>
      <w:r w:rsidR="009C56FB">
        <w:t>entities</w:t>
      </w:r>
      <w:r w:rsidR="009C56FB">
        <w:rPr>
          <w:spacing w:val="-22"/>
        </w:rPr>
        <w:t xml:space="preserve"> </w:t>
      </w:r>
      <w:r w:rsidR="009C56FB">
        <w:t>operating under the University’s CRICOS Provider Code</w:t>
      </w:r>
      <w:r w:rsidR="009C56FB">
        <w:rPr>
          <w:spacing w:val="-14"/>
        </w:rPr>
        <w:t xml:space="preserve"> </w:t>
      </w:r>
      <w:r w:rsidR="009C56FB">
        <w:t xml:space="preserve">00026A, </w:t>
      </w:r>
      <w:r>
        <w:t>staff, students and affiliates.</w:t>
      </w:r>
    </w:p>
    <w:p w14:paraId="27C97A2C" w14:textId="77777777" w:rsidR="00E57E69" w:rsidRDefault="00E57E69" w:rsidP="008A1E3E">
      <w:pPr>
        <w:pStyle w:val="Heading"/>
        <w:widowControl w:val="0"/>
        <w:numPr>
          <w:ilvl w:val="0"/>
          <w:numId w:val="13"/>
        </w:numPr>
        <w:ind w:hanging="930"/>
        <w:outlineLvl w:val="0"/>
      </w:pPr>
      <w:bookmarkStart w:id="7" w:name="_Toc17105612"/>
      <w:r>
        <w:t>Statement of intent</w:t>
      </w:r>
      <w:bookmarkEnd w:id="7"/>
    </w:p>
    <w:p w14:paraId="3CA856A9" w14:textId="77777777" w:rsidR="00BF44B9" w:rsidRDefault="00BF44B9" w:rsidP="008A1E3E">
      <w:pPr>
        <w:pStyle w:val="FirstLevel"/>
        <w:widowControl w:val="0"/>
        <w:numPr>
          <w:ilvl w:val="0"/>
          <w:numId w:val="0"/>
        </w:numPr>
      </w:pPr>
      <w:r>
        <w:t>This policy:</w:t>
      </w:r>
    </w:p>
    <w:p w14:paraId="2D7F3B1D" w14:textId="1E80D9BA" w:rsidR="00BF44B9" w:rsidRDefault="00BF44B9" w:rsidP="008A1E3E">
      <w:pPr>
        <w:pStyle w:val="SecondLevel"/>
        <w:widowControl w:val="0"/>
      </w:pPr>
      <w:r>
        <w:t xml:space="preserve">provides for appropriate </w:t>
      </w:r>
      <w:r w:rsidR="00952A4A">
        <w:t>accommodation</w:t>
      </w:r>
      <w:r w:rsidR="00603D21">
        <w:t>, support</w:t>
      </w:r>
      <w:r w:rsidR="00952A4A">
        <w:t xml:space="preserve"> and welfare </w:t>
      </w:r>
      <w:r w:rsidR="00D370DB">
        <w:t xml:space="preserve">arrangements </w:t>
      </w:r>
      <w:r>
        <w:t xml:space="preserve">for </w:t>
      </w:r>
      <w:r w:rsidR="00952A4A" w:rsidRPr="00952A4A">
        <w:t>international students who are under 18 years of age</w:t>
      </w:r>
      <w:r>
        <w:t>; and</w:t>
      </w:r>
    </w:p>
    <w:p w14:paraId="7760BD3A" w14:textId="1218769B" w:rsidR="00952A4A" w:rsidRPr="00952A4A" w:rsidRDefault="00952A4A" w:rsidP="008A1E3E">
      <w:pPr>
        <w:pStyle w:val="SecondLevel"/>
        <w:widowControl w:val="0"/>
      </w:pPr>
      <w:r w:rsidRPr="00952A4A">
        <w:t xml:space="preserve">meets the requirements of </w:t>
      </w:r>
      <w:r w:rsidR="009C56FB">
        <w:t xml:space="preserve">Part B, Standard 5 of the </w:t>
      </w:r>
      <w:hyperlink r:id="rId8" w:history="1">
        <w:r w:rsidR="009C56FB" w:rsidRPr="009C56FB">
          <w:rPr>
            <w:rStyle w:val="Hyperlink"/>
            <w:i/>
          </w:rPr>
          <w:t>National Code of Practice for Providers of Education and Training to Overseas Students 2018</w:t>
        </w:r>
      </w:hyperlink>
      <w:r w:rsidR="009C56FB">
        <w:rPr>
          <w:i/>
        </w:rPr>
        <w:t>.</w:t>
      </w:r>
    </w:p>
    <w:p w14:paraId="554852B4" w14:textId="77777777" w:rsidR="00E57E69" w:rsidRDefault="00E57E69" w:rsidP="00E57E69">
      <w:pPr>
        <w:pStyle w:val="Heading"/>
        <w:numPr>
          <w:ilvl w:val="0"/>
          <w:numId w:val="13"/>
        </w:numPr>
        <w:ind w:hanging="930"/>
        <w:outlineLvl w:val="0"/>
      </w:pPr>
      <w:bookmarkStart w:id="8" w:name="_Toc17105613"/>
      <w:r>
        <w:t>Application</w:t>
      </w:r>
      <w:bookmarkEnd w:id="8"/>
    </w:p>
    <w:p w14:paraId="4F8ACB09" w14:textId="77777777" w:rsidR="009C56FB" w:rsidRDefault="00E57E69" w:rsidP="008C0B56">
      <w:pPr>
        <w:pStyle w:val="FirstLevel"/>
        <w:numPr>
          <w:ilvl w:val="1"/>
          <w:numId w:val="45"/>
        </w:numPr>
      </w:pPr>
      <w:r>
        <w:t>This po</w:t>
      </w:r>
      <w:r w:rsidR="00952A4A">
        <w:t>licy applies to</w:t>
      </w:r>
      <w:r w:rsidR="009C56FB">
        <w:t>:</w:t>
      </w:r>
    </w:p>
    <w:p w14:paraId="44126B20" w14:textId="1EAAE701" w:rsidR="009C56FB" w:rsidRDefault="009C56FB" w:rsidP="008C0B56">
      <w:pPr>
        <w:pStyle w:val="SecondLevel"/>
        <w:numPr>
          <w:ilvl w:val="2"/>
          <w:numId w:val="39"/>
        </w:numPr>
      </w:pPr>
      <w:r>
        <w:t>the University;</w:t>
      </w:r>
    </w:p>
    <w:p w14:paraId="1D6CDC98" w14:textId="4D2EFAE1" w:rsidR="009C56FB" w:rsidRDefault="00AF6820" w:rsidP="008C0B56">
      <w:pPr>
        <w:pStyle w:val="SecondLevel"/>
        <w:numPr>
          <w:ilvl w:val="2"/>
          <w:numId w:val="39"/>
        </w:numPr>
      </w:pPr>
      <w:r>
        <w:t>pathway providers</w:t>
      </w:r>
      <w:r w:rsidR="009C56FB">
        <w:t>;</w:t>
      </w:r>
    </w:p>
    <w:p w14:paraId="09F6940D" w14:textId="20F60A7B" w:rsidR="009C56FB" w:rsidRDefault="009C56FB" w:rsidP="008C0B56">
      <w:pPr>
        <w:pStyle w:val="SecondLevel"/>
        <w:numPr>
          <w:ilvl w:val="2"/>
          <w:numId w:val="39"/>
        </w:numPr>
      </w:pPr>
      <w:r>
        <w:t>any entity operating under the University’s CRICOS Provider Code 00026A; and</w:t>
      </w:r>
    </w:p>
    <w:p w14:paraId="5299AE50" w14:textId="5ECEF178" w:rsidR="00E57E69" w:rsidRDefault="00952A4A" w:rsidP="008C0B56">
      <w:pPr>
        <w:pStyle w:val="SecondLevel"/>
        <w:numPr>
          <w:ilvl w:val="2"/>
          <w:numId w:val="39"/>
        </w:numPr>
      </w:pPr>
      <w:r>
        <w:t xml:space="preserve">international students who are under 18 years of age at the </w:t>
      </w:r>
      <w:r w:rsidR="00BF44B9">
        <w:t xml:space="preserve">commencement </w:t>
      </w:r>
      <w:r>
        <w:t>date</w:t>
      </w:r>
      <w:r w:rsidR="00BF44B9">
        <w:t>, until they turn 18 or cease to be a student of the University.</w:t>
      </w:r>
    </w:p>
    <w:p w14:paraId="6CC1149E" w14:textId="77777777" w:rsidR="00E57E69" w:rsidRDefault="00E57E69" w:rsidP="00E57E69">
      <w:pPr>
        <w:pStyle w:val="Heading"/>
        <w:numPr>
          <w:ilvl w:val="0"/>
          <w:numId w:val="13"/>
        </w:numPr>
        <w:ind w:hanging="930"/>
        <w:outlineLvl w:val="0"/>
      </w:pPr>
      <w:bookmarkStart w:id="9" w:name="_Toc17105614"/>
      <w:r>
        <w:t>Definitions</w:t>
      </w:r>
      <w:bookmarkEnd w:id="9"/>
    </w:p>
    <w:p w14:paraId="2E611227" w14:textId="5F94EB50" w:rsidR="00AC6FB6" w:rsidRDefault="00AC6FB6" w:rsidP="00D370DB">
      <w:pPr>
        <w:pStyle w:val="FirstLevel"/>
        <w:numPr>
          <w:ilvl w:val="0"/>
          <w:numId w:val="0"/>
        </w:numPr>
      </w:pPr>
      <w:r w:rsidRPr="0089469F">
        <w:t>In this policy:</w:t>
      </w:r>
    </w:p>
    <w:p w14:paraId="2E6D2E9D" w14:textId="77777777" w:rsidR="00AC6FB6" w:rsidRPr="00AC6FB6" w:rsidRDefault="00AC6FB6" w:rsidP="00AC6FB6">
      <w:pPr>
        <w:pStyle w:val="FirstLevel"/>
        <w:numPr>
          <w:ilvl w:val="0"/>
          <w:numId w:val="0"/>
        </w:numPr>
      </w:pPr>
    </w:p>
    <w:tbl>
      <w:tblPr>
        <w:tblW w:w="0" w:type="auto"/>
        <w:tblLook w:val="00A0" w:firstRow="1" w:lastRow="0" w:firstColumn="1" w:lastColumn="0" w:noHBand="0" w:noVBand="0"/>
      </w:tblPr>
      <w:tblGrid>
        <w:gridCol w:w="1992"/>
        <w:gridCol w:w="5944"/>
      </w:tblGrid>
      <w:tr w:rsidR="00BC6309" w14:paraId="7A15C5C8" w14:textId="77777777" w:rsidTr="00AF6820">
        <w:tc>
          <w:tcPr>
            <w:tcW w:w="1992" w:type="dxa"/>
          </w:tcPr>
          <w:p w14:paraId="3082BEEB" w14:textId="29645B39" w:rsidR="00BC6309" w:rsidRDefault="00BC6309" w:rsidP="00952A4A">
            <w:pPr>
              <w:pStyle w:val="Text"/>
              <w:rPr>
                <w:b/>
              </w:rPr>
            </w:pPr>
            <w:r>
              <w:rPr>
                <w:b/>
              </w:rPr>
              <w:t>accommodation provider</w:t>
            </w:r>
          </w:p>
        </w:tc>
        <w:tc>
          <w:tcPr>
            <w:tcW w:w="5944" w:type="dxa"/>
          </w:tcPr>
          <w:p w14:paraId="22E303CE" w14:textId="1BCB961D" w:rsidR="00BC6309" w:rsidRPr="005F1996" w:rsidRDefault="00BC6309" w:rsidP="00952A4A">
            <w:pPr>
              <w:pStyle w:val="Text"/>
            </w:pPr>
            <w:r>
              <w:t xml:space="preserve">means a person or organisation that is responsible for </w:t>
            </w:r>
            <w:r w:rsidR="00D370DB">
              <w:t xml:space="preserve">providing </w:t>
            </w:r>
            <w:r>
              <w:t>a student’s accommodation during the approval period.</w:t>
            </w:r>
          </w:p>
        </w:tc>
      </w:tr>
      <w:tr w:rsidR="00BC6309" w14:paraId="7347B4D9" w14:textId="77777777" w:rsidTr="00AF6820">
        <w:tc>
          <w:tcPr>
            <w:tcW w:w="1992" w:type="dxa"/>
          </w:tcPr>
          <w:p w14:paraId="2B1DE2E3" w14:textId="17CFC877" w:rsidR="00BC6309" w:rsidRDefault="00BC6309" w:rsidP="00952A4A">
            <w:pPr>
              <w:pStyle w:val="Text"/>
              <w:rPr>
                <w:b/>
              </w:rPr>
            </w:pPr>
            <w:r>
              <w:rPr>
                <w:b/>
              </w:rPr>
              <w:t>approval period</w:t>
            </w:r>
          </w:p>
        </w:tc>
        <w:tc>
          <w:tcPr>
            <w:tcW w:w="5944" w:type="dxa"/>
          </w:tcPr>
          <w:p w14:paraId="3495D636" w14:textId="15866DD7" w:rsidR="00BC6309" w:rsidRDefault="00BC6309" w:rsidP="009C56FB">
            <w:pPr>
              <w:pStyle w:val="Text"/>
            </w:pPr>
            <w:r>
              <w:t xml:space="preserve">has the meaning given to it by subclause </w:t>
            </w:r>
            <w:r w:rsidR="009C56FB">
              <w:t>8(3)</w:t>
            </w:r>
            <w:r w:rsidRPr="00014936">
              <w:t>.</w:t>
            </w:r>
          </w:p>
        </w:tc>
      </w:tr>
      <w:tr w:rsidR="00BF44B9" w14:paraId="28613D81" w14:textId="77777777" w:rsidTr="00AF6820">
        <w:tc>
          <w:tcPr>
            <w:tcW w:w="1992" w:type="dxa"/>
          </w:tcPr>
          <w:p w14:paraId="18032B2F" w14:textId="4B5E4D9A" w:rsidR="00BF44B9" w:rsidRDefault="00BF44B9" w:rsidP="00952A4A">
            <w:pPr>
              <w:pStyle w:val="Text"/>
              <w:rPr>
                <w:b/>
              </w:rPr>
            </w:pPr>
            <w:r>
              <w:rPr>
                <w:b/>
              </w:rPr>
              <w:t>commencement date</w:t>
            </w:r>
          </w:p>
        </w:tc>
        <w:tc>
          <w:tcPr>
            <w:tcW w:w="5944" w:type="dxa"/>
          </w:tcPr>
          <w:p w14:paraId="4D4D3469" w14:textId="77777777" w:rsidR="002763C8" w:rsidRDefault="00BF44B9" w:rsidP="00394B36">
            <w:pPr>
              <w:pStyle w:val="Text"/>
            </w:pPr>
            <w:r>
              <w:t>means the date on which</w:t>
            </w:r>
            <w:r w:rsidR="002763C8">
              <w:t>:</w:t>
            </w:r>
          </w:p>
          <w:p w14:paraId="2D3C5F10" w14:textId="4FDB629A" w:rsidR="002763C8" w:rsidRDefault="00BF44B9" w:rsidP="002763C8">
            <w:pPr>
              <w:pStyle w:val="Text"/>
              <w:numPr>
                <w:ilvl w:val="0"/>
                <w:numId w:val="35"/>
              </w:numPr>
            </w:pPr>
            <w:r>
              <w:t xml:space="preserve">a student </w:t>
            </w:r>
            <w:r w:rsidR="002763C8">
              <w:t>arrives in Australia</w:t>
            </w:r>
            <w:r>
              <w:t xml:space="preserve"> to attend </w:t>
            </w:r>
            <w:r w:rsidR="00394B36">
              <w:t>their</w:t>
            </w:r>
            <w:r>
              <w:t xml:space="preserve"> course for the first time</w:t>
            </w:r>
            <w:r w:rsidR="002763C8">
              <w:t>; or</w:t>
            </w:r>
          </w:p>
          <w:p w14:paraId="4C9C6F28" w14:textId="2A754E30" w:rsidR="00BF44B9" w:rsidRDefault="002763C8" w:rsidP="002763C8">
            <w:pPr>
              <w:pStyle w:val="Text"/>
              <w:numPr>
                <w:ilvl w:val="0"/>
                <w:numId w:val="35"/>
              </w:numPr>
            </w:pPr>
            <w:r>
              <w:t xml:space="preserve">the University assumes responsibility for the </w:t>
            </w:r>
            <w:r w:rsidR="00094971">
              <w:t xml:space="preserve">accommodation, support and </w:t>
            </w:r>
            <w:r>
              <w:t>welfare arrangements of a student who is already residing in Australia</w:t>
            </w:r>
            <w:r w:rsidR="00BF44B9">
              <w:t>.</w:t>
            </w:r>
          </w:p>
        </w:tc>
      </w:tr>
      <w:tr w:rsidR="00292FE0" w14:paraId="309827A5" w14:textId="77777777" w:rsidTr="00AF6820">
        <w:tc>
          <w:tcPr>
            <w:tcW w:w="1992" w:type="dxa"/>
          </w:tcPr>
          <w:p w14:paraId="2ADD4596" w14:textId="0017AAC1" w:rsidR="00292FE0" w:rsidRDefault="00292FE0" w:rsidP="00AE4033">
            <w:pPr>
              <w:pStyle w:val="Text"/>
              <w:widowControl w:val="0"/>
              <w:rPr>
                <w:b/>
              </w:rPr>
            </w:pPr>
            <w:r>
              <w:rPr>
                <w:b/>
              </w:rPr>
              <w:lastRenderedPageBreak/>
              <w:t>delegate</w:t>
            </w:r>
          </w:p>
        </w:tc>
        <w:tc>
          <w:tcPr>
            <w:tcW w:w="5944" w:type="dxa"/>
          </w:tcPr>
          <w:p w14:paraId="2B7DA311" w14:textId="09FE57FB" w:rsidR="00292FE0" w:rsidRDefault="00292FE0" w:rsidP="00AE4033">
            <w:pPr>
              <w:pStyle w:val="Text"/>
              <w:widowControl w:val="0"/>
            </w:pPr>
            <w:r>
              <w:t xml:space="preserve">has the meaning given in </w:t>
            </w:r>
            <w:r w:rsidR="00AF6820">
              <w:t xml:space="preserve">Part 3 of </w:t>
            </w:r>
            <w:r>
              <w:t xml:space="preserve">the </w:t>
            </w:r>
            <w:hyperlink r:id="rId9" w:history="1">
              <w:r w:rsidRPr="0044003B">
                <w:rPr>
                  <w:rStyle w:val="Hyperlink"/>
                  <w:i/>
                </w:rPr>
                <w:t>University of Sydney (Delegations of Authority) Rule</w:t>
              </w:r>
            </w:hyperlink>
            <w:r>
              <w:t>. At the date of this policy, that is:</w:t>
            </w:r>
          </w:p>
          <w:p w14:paraId="05C34E1B" w14:textId="338390E1" w:rsidR="00292FE0" w:rsidRPr="00292FE0" w:rsidRDefault="00932FE4" w:rsidP="00AE4033">
            <w:pPr>
              <w:pStyle w:val="Text"/>
              <w:widowControl w:val="0"/>
              <w:ind w:left="567" w:right="567"/>
              <w:rPr>
                <w:sz w:val="18"/>
                <w:szCs w:val="18"/>
              </w:rPr>
            </w:pPr>
            <w:r w:rsidRPr="006175BE">
              <w:rPr>
                <w:sz w:val="18"/>
                <w:szCs w:val="18"/>
              </w:rPr>
              <w:t>refers to the position to which a delegation is given</w:t>
            </w:r>
          </w:p>
        </w:tc>
      </w:tr>
      <w:tr w:rsidR="00E57E69" w14:paraId="122318DF" w14:textId="77777777" w:rsidTr="00AF6820">
        <w:tc>
          <w:tcPr>
            <w:tcW w:w="1992" w:type="dxa"/>
          </w:tcPr>
          <w:p w14:paraId="4640DE45" w14:textId="0DE58D22" w:rsidR="00E57E69" w:rsidRPr="005F1996" w:rsidRDefault="005037C2" w:rsidP="00AE4033">
            <w:pPr>
              <w:pStyle w:val="Text"/>
              <w:rPr>
                <w:b/>
              </w:rPr>
            </w:pPr>
            <w:r>
              <w:rPr>
                <w:b/>
              </w:rPr>
              <w:t>Department</w:t>
            </w:r>
          </w:p>
        </w:tc>
        <w:tc>
          <w:tcPr>
            <w:tcW w:w="5944" w:type="dxa"/>
          </w:tcPr>
          <w:p w14:paraId="419BD40F" w14:textId="5959C960" w:rsidR="00E57E69" w:rsidRPr="00952A4A" w:rsidRDefault="00E57E69" w:rsidP="00AE4033">
            <w:pPr>
              <w:pStyle w:val="Text"/>
            </w:pPr>
            <w:r w:rsidRPr="005F1996">
              <w:t xml:space="preserve">means </w:t>
            </w:r>
            <w:r w:rsidR="005037C2">
              <w:t>the Department of</w:t>
            </w:r>
            <w:r w:rsidR="001C27ED">
              <w:t xml:space="preserve"> Home Affairs.</w:t>
            </w:r>
          </w:p>
        </w:tc>
      </w:tr>
      <w:tr w:rsidR="00903E27" w14:paraId="0690AD62" w14:textId="77777777" w:rsidTr="00AF6820">
        <w:tc>
          <w:tcPr>
            <w:tcW w:w="1992" w:type="dxa"/>
          </w:tcPr>
          <w:p w14:paraId="2F271A6B" w14:textId="4D786CCB" w:rsidR="00903E27" w:rsidRDefault="00903E27" w:rsidP="00AE4033">
            <w:pPr>
              <w:pStyle w:val="Text"/>
              <w:rPr>
                <w:b/>
              </w:rPr>
            </w:pPr>
            <w:r>
              <w:rPr>
                <w:b/>
              </w:rPr>
              <w:t>international student</w:t>
            </w:r>
          </w:p>
        </w:tc>
        <w:tc>
          <w:tcPr>
            <w:tcW w:w="5944" w:type="dxa"/>
          </w:tcPr>
          <w:p w14:paraId="6B7B7505" w14:textId="245D0679" w:rsidR="00903E27" w:rsidRDefault="00903E27" w:rsidP="00AE4033">
            <w:pPr>
              <w:pStyle w:val="Text"/>
            </w:pPr>
            <w:r>
              <w:t xml:space="preserve">means a student who </w:t>
            </w:r>
            <w:r w:rsidRPr="00BF44B9">
              <w:rPr>
                <w:b/>
              </w:rPr>
              <w:t xml:space="preserve">is </w:t>
            </w:r>
            <w:r w:rsidRPr="00574321">
              <w:rPr>
                <w:b/>
              </w:rPr>
              <w:t>not</w:t>
            </w:r>
            <w:r>
              <w:t>:</w:t>
            </w:r>
          </w:p>
          <w:p w14:paraId="7A453ED8" w14:textId="77777777" w:rsidR="00903E27" w:rsidRDefault="00903E27" w:rsidP="00AE4033">
            <w:pPr>
              <w:pStyle w:val="textdotpoint"/>
              <w:numPr>
                <w:ilvl w:val="0"/>
                <w:numId w:val="2"/>
              </w:numPr>
            </w:pPr>
            <w:r>
              <w:t xml:space="preserve">an Australian citizen; </w:t>
            </w:r>
          </w:p>
          <w:p w14:paraId="4D88D263" w14:textId="77777777" w:rsidR="00903E27" w:rsidRDefault="00903E27" w:rsidP="00AE4033">
            <w:pPr>
              <w:pStyle w:val="textdotpoint"/>
              <w:numPr>
                <w:ilvl w:val="0"/>
                <w:numId w:val="2"/>
              </w:numPr>
            </w:pPr>
            <w:r>
              <w:t>a permanent resident of Australia; or</w:t>
            </w:r>
          </w:p>
          <w:p w14:paraId="69367737" w14:textId="77777777" w:rsidR="00BF44B9" w:rsidRDefault="00903E27" w:rsidP="00AE4033">
            <w:pPr>
              <w:pStyle w:val="textdotpoint"/>
              <w:numPr>
                <w:ilvl w:val="0"/>
                <w:numId w:val="2"/>
              </w:numPr>
            </w:pPr>
            <w:r>
              <w:t>a New Zealand citizen</w:t>
            </w:r>
            <w:r w:rsidR="00DD506E">
              <w:t xml:space="preserve">; </w:t>
            </w:r>
          </w:p>
          <w:p w14:paraId="209FC9EE" w14:textId="40F6F223" w:rsidR="00FF287F" w:rsidRDefault="00FF287F" w:rsidP="00AE4033">
            <w:pPr>
              <w:pStyle w:val="textdotpoint"/>
              <w:numPr>
                <w:ilvl w:val="0"/>
                <w:numId w:val="0"/>
              </w:numPr>
              <w:ind w:left="360"/>
            </w:pPr>
          </w:p>
          <w:p w14:paraId="4A69717B" w14:textId="0B120B3E" w:rsidR="00DD506E" w:rsidRDefault="00DD506E" w:rsidP="00AE4033">
            <w:pPr>
              <w:pStyle w:val="textdotpoint"/>
              <w:numPr>
                <w:ilvl w:val="0"/>
                <w:numId w:val="0"/>
              </w:numPr>
              <w:rPr>
                <w:b/>
              </w:rPr>
            </w:pPr>
            <w:r>
              <w:t>and</w:t>
            </w:r>
            <w:r w:rsidR="00BF44B9">
              <w:t xml:space="preserve"> </w:t>
            </w:r>
            <w:r w:rsidR="00BF44B9" w:rsidRPr="00BF44B9">
              <w:t>who</w:t>
            </w:r>
            <w:r w:rsidR="00BF44B9">
              <w:rPr>
                <w:b/>
              </w:rPr>
              <w:t xml:space="preserve"> is:</w:t>
            </w:r>
          </w:p>
          <w:p w14:paraId="365D7937" w14:textId="7C72EFA1" w:rsidR="00903E27" w:rsidRDefault="00DD506E" w:rsidP="00AE4033">
            <w:pPr>
              <w:pStyle w:val="textdotpoint"/>
              <w:numPr>
                <w:ilvl w:val="0"/>
                <w:numId w:val="2"/>
              </w:numPr>
            </w:pPr>
            <w:r>
              <w:t>a temporary student visa holder</w:t>
            </w:r>
            <w:r w:rsidR="00C9578D">
              <w:t>.</w:t>
            </w:r>
          </w:p>
          <w:p w14:paraId="0A2D4A86" w14:textId="3334086A" w:rsidR="00BF44B9" w:rsidRPr="005F1996" w:rsidRDefault="00BF44B9" w:rsidP="00AE4033">
            <w:pPr>
              <w:pStyle w:val="textdotpoint"/>
              <w:numPr>
                <w:ilvl w:val="0"/>
                <w:numId w:val="0"/>
              </w:numPr>
              <w:ind w:left="360"/>
            </w:pPr>
          </w:p>
        </w:tc>
      </w:tr>
      <w:tr w:rsidR="00AF6820" w14:paraId="4A5FB47F" w14:textId="77777777" w:rsidTr="00AF6820">
        <w:tc>
          <w:tcPr>
            <w:tcW w:w="1992" w:type="dxa"/>
          </w:tcPr>
          <w:p w14:paraId="5ED5E94C" w14:textId="718FCB4F" w:rsidR="00AF6820" w:rsidRDefault="00AF6820" w:rsidP="00AE4033">
            <w:pPr>
              <w:pStyle w:val="Text"/>
              <w:rPr>
                <w:b/>
              </w:rPr>
            </w:pPr>
            <w:r>
              <w:rPr>
                <w:b/>
              </w:rPr>
              <w:t>pathway provider</w:t>
            </w:r>
          </w:p>
        </w:tc>
        <w:tc>
          <w:tcPr>
            <w:tcW w:w="5944" w:type="dxa"/>
          </w:tcPr>
          <w:p w14:paraId="4F63FFF8" w14:textId="6782C4D8" w:rsidR="00AF6820" w:rsidRDefault="00AF6820" w:rsidP="00AE4033">
            <w:pPr>
              <w:pStyle w:val="Text"/>
            </w:pPr>
            <w:r>
              <w:t>means any entity operating under the University’s CRICOS Provider Code 00026A and engaged in delivering the University’s foundation programs or non-award courses, including the Centre for English Teaching.</w:t>
            </w:r>
          </w:p>
        </w:tc>
      </w:tr>
      <w:tr w:rsidR="00F32CC8" w14:paraId="763CA904" w14:textId="77777777" w:rsidTr="00AF6820">
        <w:tc>
          <w:tcPr>
            <w:tcW w:w="1992" w:type="dxa"/>
          </w:tcPr>
          <w:p w14:paraId="74B10D46" w14:textId="102CE5B5" w:rsidR="00F32CC8" w:rsidRDefault="00F32CC8" w:rsidP="00952A4A">
            <w:pPr>
              <w:pStyle w:val="Text"/>
              <w:rPr>
                <w:b/>
              </w:rPr>
            </w:pPr>
            <w:r>
              <w:rPr>
                <w:b/>
              </w:rPr>
              <w:t>relative</w:t>
            </w:r>
          </w:p>
        </w:tc>
        <w:tc>
          <w:tcPr>
            <w:tcW w:w="5944" w:type="dxa"/>
          </w:tcPr>
          <w:p w14:paraId="47572BEB" w14:textId="1C93C11D" w:rsidR="00F32CC8" w:rsidRPr="005F1996" w:rsidRDefault="00F32CC8" w:rsidP="00F32CC8">
            <w:pPr>
              <w:pStyle w:val="Text"/>
            </w:pPr>
            <w:r>
              <w:t>means a grandparent, brother, sister, aunt, uncle, niece or nephew, or a step grandparent, brother, sister, aunt, uncle, niece or nephew.</w:t>
            </w:r>
          </w:p>
        </w:tc>
      </w:tr>
      <w:tr w:rsidR="00E57E69" w14:paraId="4AB6BB5C" w14:textId="77777777" w:rsidTr="00AF6820">
        <w:tc>
          <w:tcPr>
            <w:tcW w:w="1992" w:type="dxa"/>
          </w:tcPr>
          <w:p w14:paraId="46F65B57" w14:textId="7ABEBAAD" w:rsidR="00E57E69" w:rsidRPr="005F1996" w:rsidRDefault="00AC6FB6" w:rsidP="00952A4A">
            <w:pPr>
              <w:pStyle w:val="Text"/>
              <w:rPr>
                <w:b/>
              </w:rPr>
            </w:pPr>
            <w:r>
              <w:rPr>
                <w:b/>
              </w:rPr>
              <w:t>student</w:t>
            </w:r>
          </w:p>
        </w:tc>
        <w:tc>
          <w:tcPr>
            <w:tcW w:w="5944" w:type="dxa"/>
          </w:tcPr>
          <w:p w14:paraId="1C49E788" w14:textId="77777777" w:rsidR="00903E27" w:rsidRDefault="00E57E69" w:rsidP="00903E27">
            <w:pPr>
              <w:pStyle w:val="Text"/>
            </w:pPr>
            <w:r w:rsidRPr="005F1996">
              <w:t xml:space="preserve">means </w:t>
            </w:r>
            <w:r w:rsidR="00AC6FB6">
              <w:t>a</w:t>
            </w:r>
            <w:r w:rsidR="00903E27">
              <w:t>n international student</w:t>
            </w:r>
            <w:r w:rsidR="00AC6FB6">
              <w:t xml:space="preserve"> who is</w:t>
            </w:r>
            <w:r w:rsidR="00903E27">
              <w:t>:</w:t>
            </w:r>
          </w:p>
          <w:p w14:paraId="4BAE3BCF" w14:textId="40A6558B" w:rsidR="00903E27" w:rsidRDefault="00911916" w:rsidP="00903E27">
            <w:pPr>
              <w:pStyle w:val="textdotpoint"/>
            </w:pPr>
            <w:r>
              <w:t>enrolled</w:t>
            </w:r>
            <w:r w:rsidR="00AC6FB6">
              <w:t xml:space="preserve"> in an award course of the University</w:t>
            </w:r>
            <w:r w:rsidR="00903E27">
              <w:t>;</w:t>
            </w:r>
          </w:p>
          <w:p w14:paraId="443DE6F4" w14:textId="5D2EF260" w:rsidR="00DD506E" w:rsidRDefault="00DD506E" w:rsidP="00903E27">
            <w:pPr>
              <w:pStyle w:val="textdotpoint"/>
            </w:pPr>
            <w:r>
              <w:t>enrolled in a non-award course of the University;</w:t>
            </w:r>
            <w:r w:rsidR="00C7164B">
              <w:t xml:space="preserve"> or</w:t>
            </w:r>
          </w:p>
          <w:p w14:paraId="354DB0C1" w14:textId="47CBD7E9" w:rsidR="00E57E69" w:rsidRDefault="00903E27" w:rsidP="00903E27">
            <w:pPr>
              <w:pStyle w:val="textdotpoint"/>
            </w:pPr>
            <w:r>
              <w:t>enrolled in a course offered by any other entity operating under the University’s CRICOS Provider Code</w:t>
            </w:r>
            <w:r w:rsidR="00AC6FB6">
              <w:t xml:space="preserve"> </w:t>
            </w:r>
            <w:r w:rsidR="009C56FB">
              <w:t>0</w:t>
            </w:r>
            <w:r>
              <w:t>0026A.</w:t>
            </w:r>
            <w:r w:rsidR="00FE50B4">
              <w:br/>
            </w:r>
          </w:p>
          <w:p w14:paraId="68F778A0" w14:textId="648F4635" w:rsidR="00FE50B4" w:rsidRDefault="00FE50B4" w:rsidP="00FE50B4">
            <w:pPr>
              <w:pStyle w:val="Notes"/>
            </w:pPr>
            <w:r>
              <w:rPr>
                <w:b/>
              </w:rPr>
              <w:t>Note:</w:t>
            </w:r>
            <w:r>
              <w:rPr>
                <w:b/>
              </w:rPr>
              <w:tab/>
            </w:r>
            <w:r>
              <w:t xml:space="preserve">A student enrolled in the University of Sydney Foundation Program run by </w:t>
            </w:r>
            <w:r w:rsidR="00AF6820">
              <w:t>a pathway provider</w:t>
            </w:r>
            <w:r>
              <w:t xml:space="preserve"> is an international student for the purposes of this policy.</w:t>
            </w:r>
          </w:p>
          <w:p w14:paraId="741AFF08" w14:textId="51BA5CA7" w:rsidR="00BF44B9" w:rsidRPr="005F1996" w:rsidRDefault="00FE50B4" w:rsidP="00FE50B4">
            <w:pPr>
              <w:pStyle w:val="Notes"/>
            </w:pPr>
            <w:r>
              <w:rPr>
                <w:b/>
              </w:rPr>
              <w:t>Note:</w:t>
            </w:r>
            <w:r>
              <w:tab/>
              <w:t>A student enrolled in a non-award course offered by the Centre for English Teaching is an international student for the purposes of this policy.</w:t>
            </w:r>
            <w:r w:rsidRPr="009C56FB" w:rsidDel="00FE50B4">
              <w:t xml:space="preserve"> </w:t>
            </w:r>
          </w:p>
        </w:tc>
      </w:tr>
      <w:tr w:rsidR="00BC6309" w14:paraId="092A75A4" w14:textId="77777777" w:rsidTr="00AF6820">
        <w:tc>
          <w:tcPr>
            <w:tcW w:w="1992" w:type="dxa"/>
          </w:tcPr>
          <w:p w14:paraId="1644054F" w14:textId="66B4723B" w:rsidR="00BC6309" w:rsidRDefault="00BC6309" w:rsidP="00952A4A">
            <w:pPr>
              <w:pStyle w:val="Text"/>
              <w:rPr>
                <w:b/>
              </w:rPr>
            </w:pPr>
            <w:r>
              <w:rPr>
                <w:b/>
              </w:rPr>
              <w:t>welfare provider</w:t>
            </w:r>
          </w:p>
        </w:tc>
        <w:tc>
          <w:tcPr>
            <w:tcW w:w="5944" w:type="dxa"/>
          </w:tcPr>
          <w:p w14:paraId="4A8C7327" w14:textId="6EF08282" w:rsidR="00BC6309" w:rsidRPr="005F1996" w:rsidRDefault="00BC6309" w:rsidP="00BC6309">
            <w:pPr>
              <w:pStyle w:val="Text"/>
            </w:pPr>
            <w:r>
              <w:t>means a person or organisation that is responsible for</w:t>
            </w:r>
            <w:r w:rsidR="00D370DB">
              <w:t xml:space="preserve"> providing</w:t>
            </w:r>
            <w:r>
              <w:t xml:space="preserve"> a student’s support and welfare during the approval period. </w:t>
            </w:r>
          </w:p>
        </w:tc>
      </w:tr>
    </w:tbl>
    <w:p w14:paraId="5F3E9029" w14:textId="24AFF831" w:rsidR="00E57E69" w:rsidRDefault="00D370DB" w:rsidP="00D370DB">
      <w:pPr>
        <w:pStyle w:val="Heading"/>
        <w:keepNext/>
        <w:numPr>
          <w:ilvl w:val="0"/>
          <w:numId w:val="13"/>
        </w:numPr>
        <w:ind w:hanging="930"/>
        <w:outlineLvl w:val="0"/>
      </w:pPr>
      <w:bookmarkStart w:id="10" w:name="_Toc17105615"/>
      <w:r>
        <w:lastRenderedPageBreak/>
        <w:t>Enrolment</w:t>
      </w:r>
      <w:r w:rsidR="005037C2">
        <w:t xml:space="preserve"> of international students under 18 years of age</w:t>
      </w:r>
      <w:bookmarkEnd w:id="10"/>
    </w:p>
    <w:p w14:paraId="3EC959BA" w14:textId="35DCF899" w:rsidR="005037C2" w:rsidRDefault="005037C2" w:rsidP="00D370DB">
      <w:pPr>
        <w:pStyle w:val="FirstLevel"/>
        <w:keepNext/>
        <w:numPr>
          <w:ilvl w:val="1"/>
          <w:numId w:val="16"/>
        </w:numPr>
      </w:pPr>
      <w:r>
        <w:t xml:space="preserve">The University </w:t>
      </w:r>
      <w:r w:rsidR="008C58F2">
        <w:t xml:space="preserve">and its </w:t>
      </w:r>
      <w:r w:rsidR="00707C1B">
        <w:t>pathway</w:t>
      </w:r>
      <w:r w:rsidR="00397A4F">
        <w:t xml:space="preserve"> providers</w:t>
      </w:r>
      <w:r w:rsidR="008C58F2">
        <w:t xml:space="preserve"> </w:t>
      </w:r>
      <w:r>
        <w:t xml:space="preserve">will only </w:t>
      </w:r>
      <w:r w:rsidR="0053685B">
        <w:t xml:space="preserve">enrol </w:t>
      </w:r>
      <w:r>
        <w:t xml:space="preserve">international students </w:t>
      </w:r>
      <w:r w:rsidR="002E4370">
        <w:t xml:space="preserve">who are </w:t>
      </w:r>
      <w:r>
        <w:t xml:space="preserve">under 18 years of age </w:t>
      </w:r>
      <w:r w:rsidR="002E4370">
        <w:t>at the</w:t>
      </w:r>
      <w:r w:rsidR="0044003B">
        <w:t>ir</w:t>
      </w:r>
      <w:r w:rsidR="002E4370">
        <w:t xml:space="preserve"> commencement </w:t>
      </w:r>
      <w:r w:rsidR="0044003B">
        <w:t>date</w:t>
      </w:r>
      <w:r w:rsidR="002E4370">
        <w:t xml:space="preserve"> </w:t>
      </w:r>
      <w:r w:rsidR="00292FE0">
        <w:t>if the relevant delegate is satisfied that</w:t>
      </w:r>
      <w:r>
        <w:t>:</w:t>
      </w:r>
    </w:p>
    <w:p w14:paraId="4D8400EC" w14:textId="273694C5" w:rsidR="005037C2" w:rsidRDefault="005037C2" w:rsidP="00D370DB">
      <w:pPr>
        <w:pStyle w:val="SecondLevel"/>
        <w:keepNext/>
      </w:pPr>
      <w:r>
        <w:t xml:space="preserve">the student will live in Australia with a parent or legal </w:t>
      </w:r>
      <w:r w:rsidR="00594BDE">
        <w:t>guardian</w:t>
      </w:r>
      <w:r>
        <w:t>;</w:t>
      </w:r>
    </w:p>
    <w:p w14:paraId="5C243B18" w14:textId="73F61577" w:rsidR="005037C2" w:rsidRDefault="005037C2" w:rsidP="005037C2">
      <w:pPr>
        <w:pStyle w:val="SecondLevel"/>
      </w:pPr>
      <w:r>
        <w:t xml:space="preserve">the student will live in Australia with a relative over 21 years of age and of good character, who has been nominated by a parent or legal </w:t>
      </w:r>
      <w:r w:rsidR="00594BDE">
        <w:t xml:space="preserve">guardian </w:t>
      </w:r>
      <w:r>
        <w:t>and approved by the Department;</w:t>
      </w:r>
      <w:r w:rsidR="002E4370">
        <w:t xml:space="preserve"> or</w:t>
      </w:r>
    </w:p>
    <w:p w14:paraId="74FBEDFE" w14:textId="335F8F9D" w:rsidR="005037C2" w:rsidRDefault="005037C2" w:rsidP="005037C2">
      <w:pPr>
        <w:pStyle w:val="SecondLevel"/>
      </w:pPr>
      <w:r>
        <w:t>the student will live in Australia under accommodation</w:t>
      </w:r>
      <w:r w:rsidR="00AC6FB6">
        <w:t>, support</w:t>
      </w:r>
      <w:r>
        <w:t xml:space="preserve"> and welfare arrangements that have been approved by the University.</w:t>
      </w:r>
    </w:p>
    <w:p w14:paraId="00A5384E" w14:textId="0FD7B704" w:rsidR="00E72456" w:rsidRDefault="00F74081" w:rsidP="00F74081">
      <w:pPr>
        <w:pStyle w:val="FirstLevel"/>
      </w:pPr>
      <w:r>
        <w:t xml:space="preserve">The University </w:t>
      </w:r>
      <w:r w:rsidR="008C58F2">
        <w:t xml:space="preserve">and its </w:t>
      </w:r>
      <w:r w:rsidR="00707C1B">
        <w:t>pathway</w:t>
      </w:r>
      <w:r w:rsidR="00397A4F">
        <w:t xml:space="preserve"> providers</w:t>
      </w:r>
      <w:r w:rsidR="008C58F2">
        <w:t xml:space="preserve"> </w:t>
      </w:r>
      <w:r>
        <w:t xml:space="preserve">will not </w:t>
      </w:r>
      <w:r w:rsidR="002B295B">
        <w:t>enrol</w:t>
      </w:r>
      <w:r>
        <w:t xml:space="preserve"> international students </w:t>
      </w:r>
      <w:r w:rsidR="002E4370">
        <w:t xml:space="preserve">who are </w:t>
      </w:r>
      <w:r>
        <w:t>under 1</w:t>
      </w:r>
      <w:r w:rsidR="00CA3834">
        <w:t>6</w:t>
      </w:r>
      <w:r>
        <w:t xml:space="preserve"> years of age at the</w:t>
      </w:r>
      <w:r w:rsidR="0044003B">
        <w:t>ir commencement</w:t>
      </w:r>
      <w:r>
        <w:t xml:space="preserve"> date under any circumstances.</w:t>
      </w:r>
    </w:p>
    <w:p w14:paraId="61018A27" w14:textId="6194CCF3" w:rsidR="000D20AF" w:rsidRPr="005037C2" w:rsidRDefault="000D20AF" w:rsidP="00F74081">
      <w:pPr>
        <w:pStyle w:val="FirstLevel"/>
      </w:pPr>
      <w:r>
        <w:t xml:space="preserve">The University and its </w:t>
      </w:r>
      <w:r w:rsidR="005666EB">
        <w:t>pathway</w:t>
      </w:r>
      <w:r w:rsidR="00397A4F">
        <w:t xml:space="preserve"> providers</w:t>
      </w:r>
      <w:r>
        <w:t xml:space="preserve"> will not charge international students any fee or require any payment for, or in connection with, the approval of a student’s accommodation, support and welfare arrangements in accordance with subclause 7(1)(c).</w:t>
      </w:r>
    </w:p>
    <w:p w14:paraId="1AC30D06" w14:textId="30B278CA" w:rsidR="006702DE" w:rsidRDefault="00D370DB" w:rsidP="00AE4033">
      <w:pPr>
        <w:pStyle w:val="Heading"/>
        <w:numPr>
          <w:ilvl w:val="0"/>
          <w:numId w:val="13"/>
        </w:numPr>
        <w:ind w:hanging="930"/>
        <w:outlineLvl w:val="0"/>
      </w:pPr>
      <w:bookmarkStart w:id="11" w:name="_Toc17105616"/>
      <w:r>
        <w:t>Checking and m</w:t>
      </w:r>
      <w:r w:rsidR="00D8723C">
        <w:t>onitoring the suitability of arrangements</w:t>
      </w:r>
      <w:bookmarkEnd w:id="11"/>
      <w:r w:rsidR="006702DE">
        <w:t xml:space="preserve"> </w:t>
      </w:r>
    </w:p>
    <w:p w14:paraId="3650E3A5" w14:textId="4FAE6628" w:rsidR="00292FE0" w:rsidRDefault="00292FE0" w:rsidP="00AE4033">
      <w:pPr>
        <w:pStyle w:val="FirstLevel"/>
        <w:numPr>
          <w:ilvl w:val="1"/>
          <w:numId w:val="18"/>
        </w:numPr>
      </w:pPr>
      <w:r w:rsidRPr="00707122">
        <w:t xml:space="preserve">The </w:t>
      </w:r>
      <w:r w:rsidR="00094971">
        <w:t>Deputy Vice-Chancellor (</w:t>
      </w:r>
      <w:r w:rsidR="0032620B">
        <w:t>Education</w:t>
      </w:r>
      <w:r w:rsidR="00094971">
        <w:t>)</w:t>
      </w:r>
      <w:r>
        <w:t xml:space="preserve"> will determine and publish </w:t>
      </w:r>
      <w:r w:rsidR="00D370DB">
        <w:t xml:space="preserve">procedures </w:t>
      </w:r>
      <w:r w:rsidR="00707122">
        <w:t>that</w:t>
      </w:r>
      <w:r>
        <w:t>:</w:t>
      </w:r>
    </w:p>
    <w:p w14:paraId="6427A92A" w14:textId="7091DE0D" w:rsidR="00292FE0" w:rsidRDefault="003668FF" w:rsidP="00292FE0">
      <w:pPr>
        <w:pStyle w:val="SecondLevel"/>
        <w:numPr>
          <w:ilvl w:val="2"/>
          <w:numId w:val="18"/>
        </w:numPr>
      </w:pPr>
      <w:r>
        <w:t>s</w:t>
      </w:r>
      <w:r w:rsidR="00292FE0">
        <w:t>pecify</w:t>
      </w:r>
      <w:r>
        <w:t xml:space="preserve"> </w:t>
      </w:r>
      <w:r w:rsidR="00292FE0">
        <w:t xml:space="preserve">the University’s requirements for students to whom subclause 7(1)(c) </w:t>
      </w:r>
      <w:r w:rsidR="00E451DB">
        <w:t>applies; and</w:t>
      </w:r>
    </w:p>
    <w:p w14:paraId="0C70F7B0" w14:textId="297848CE" w:rsidR="00292FE0" w:rsidRDefault="00292FE0" w:rsidP="00292FE0">
      <w:pPr>
        <w:pStyle w:val="SecondLevel"/>
        <w:numPr>
          <w:ilvl w:val="2"/>
          <w:numId w:val="18"/>
        </w:numPr>
      </w:pPr>
      <w:r>
        <w:t xml:space="preserve">provide for appropriate </w:t>
      </w:r>
      <w:r w:rsidR="003668FF">
        <w:t>monitoring and checking</w:t>
      </w:r>
      <w:r>
        <w:t xml:space="preserve"> that such requirements are met.</w:t>
      </w:r>
    </w:p>
    <w:p w14:paraId="20F4DE91" w14:textId="57D754A4" w:rsidR="003668FF" w:rsidRPr="003668FF" w:rsidRDefault="003668FF" w:rsidP="003668FF">
      <w:pPr>
        <w:pStyle w:val="Notes"/>
        <w:ind w:left="1287"/>
        <w:rPr>
          <w:i/>
        </w:rPr>
      </w:pPr>
      <w:r>
        <w:rPr>
          <w:b/>
        </w:rPr>
        <w:t>Note:</w:t>
      </w:r>
      <w:r>
        <w:rPr>
          <w:b/>
        </w:rPr>
        <w:tab/>
      </w:r>
      <w:r>
        <w:t xml:space="preserve">See the </w:t>
      </w:r>
      <w:hyperlink r:id="rId10" w:history="1">
        <w:r w:rsidR="000342ED" w:rsidRPr="0042392B">
          <w:rPr>
            <w:rStyle w:val="Hyperlink"/>
            <w:i/>
          </w:rPr>
          <w:t xml:space="preserve">Under 18 International Students </w:t>
        </w:r>
        <w:r w:rsidRPr="0042392B">
          <w:rPr>
            <w:rStyle w:val="Hyperlink"/>
            <w:i/>
          </w:rPr>
          <w:t>Procedures</w:t>
        </w:r>
      </w:hyperlink>
    </w:p>
    <w:p w14:paraId="25055FFD" w14:textId="13D89C69" w:rsidR="003668FF" w:rsidRDefault="003668FF" w:rsidP="006702DE">
      <w:pPr>
        <w:pStyle w:val="FirstLevel"/>
        <w:numPr>
          <w:ilvl w:val="1"/>
          <w:numId w:val="18"/>
        </w:numPr>
      </w:pPr>
      <w:r>
        <w:t xml:space="preserve">The relevant delegate will only approve the enrolment of students to whom paragraph 7(1)(c) applies consistently with those procedures. </w:t>
      </w:r>
    </w:p>
    <w:p w14:paraId="275CDCF4" w14:textId="631EB87D" w:rsidR="00C9578D" w:rsidRDefault="003668FF" w:rsidP="006702DE">
      <w:pPr>
        <w:pStyle w:val="FirstLevel"/>
        <w:numPr>
          <w:ilvl w:val="1"/>
          <w:numId w:val="18"/>
        </w:numPr>
      </w:pPr>
      <w:r>
        <w:t xml:space="preserve">Approved </w:t>
      </w:r>
      <w:r w:rsidR="006702DE">
        <w:t>accommodation, support and welfare arrangements must</w:t>
      </w:r>
      <w:r w:rsidR="00C9578D">
        <w:t>:</w:t>
      </w:r>
    </w:p>
    <w:p w14:paraId="2C065365" w14:textId="0EEAE6EC" w:rsidR="00C9578D" w:rsidRDefault="00C9578D" w:rsidP="00C9578D">
      <w:pPr>
        <w:pStyle w:val="SecondLevel"/>
        <w:numPr>
          <w:ilvl w:val="2"/>
          <w:numId w:val="18"/>
        </w:numPr>
      </w:pPr>
      <w:r>
        <w:t xml:space="preserve">begin </w:t>
      </w:r>
      <w:r w:rsidR="00C20591">
        <w:t xml:space="preserve">no more than 14 and </w:t>
      </w:r>
      <w:r w:rsidR="00CC2CFB">
        <w:t xml:space="preserve">no less than </w:t>
      </w:r>
      <w:r>
        <w:t xml:space="preserve">seven days prior to the </w:t>
      </w:r>
      <w:r w:rsidR="0044003B">
        <w:t xml:space="preserve">student’s </w:t>
      </w:r>
      <w:r>
        <w:t xml:space="preserve">commencement </w:t>
      </w:r>
      <w:r w:rsidR="0044003B">
        <w:t>date</w:t>
      </w:r>
      <w:r>
        <w:t>; and</w:t>
      </w:r>
    </w:p>
    <w:p w14:paraId="47D76CCE" w14:textId="7C689666" w:rsidR="006702DE" w:rsidRDefault="006702DE" w:rsidP="00AE4033">
      <w:pPr>
        <w:pStyle w:val="SecondLevel"/>
        <w:numPr>
          <w:ilvl w:val="2"/>
          <w:numId w:val="18"/>
        </w:numPr>
      </w:pPr>
      <w:r>
        <w:t>remain in place:</w:t>
      </w:r>
    </w:p>
    <w:p w14:paraId="2E75FB92" w14:textId="77777777" w:rsidR="006702DE" w:rsidRDefault="006702DE" w:rsidP="00AE4033">
      <w:pPr>
        <w:pStyle w:val="ThirdLevel"/>
        <w:numPr>
          <w:ilvl w:val="3"/>
          <w:numId w:val="18"/>
        </w:numPr>
      </w:pPr>
      <w:r>
        <w:t>for the duration of the student’s enrolment, plus seven days; or</w:t>
      </w:r>
    </w:p>
    <w:p w14:paraId="7F40D69E" w14:textId="77777777" w:rsidR="006702DE" w:rsidRDefault="006702DE" w:rsidP="00C9578D">
      <w:pPr>
        <w:pStyle w:val="ThirdLevel"/>
        <w:numPr>
          <w:ilvl w:val="3"/>
          <w:numId w:val="18"/>
        </w:numPr>
      </w:pPr>
      <w:r>
        <w:t xml:space="preserve">until the student turns 18 (“the </w:t>
      </w:r>
      <w:r w:rsidRPr="00C9578D">
        <w:rPr>
          <w:b/>
        </w:rPr>
        <w:t>approval period</w:t>
      </w:r>
      <w:r>
        <w:t>”).</w:t>
      </w:r>
    </w:p>
    <w:p w14:paraId="725769EA" w14:textId="5A114B76" w:rsidR="00D8723C" w:rsidRPr="002E4370" w:rsidRDefault="00D8723C" w:rsidP="00D8723C">
      <w:pPr>
        <w:pStyle w:val="FirstLevel"/>
        <w:numPr>
          <w:ilvl w:val="1"/>
          <w:numId w:val="18"/>
        </w:numPr>
      </w:pPr>
      <w:r>
        <w:t xml:space="preserve">Students </w:t>
      </w:r>
      <w:r w:rsidR="003668FF">
        <w:t xml:space="preserve">must not </w:t>
      </w:r>
      <w:r>
        <w:t>travel to Australia before the commencement of the approval period.</w:t>
      </w:r>
    </w:p>
    <w:p w14:paraId="042F0B73" w14:textId="48FA4C58" w:rsidR="003668FF" w:rsidRDefault="006702DE" w:rsidP="006702DE">
      <w:pPr>
        <w:pStyle w:val="FirstLevel"/>
        <w:numPr>
          <w:ilvl w:val="1"/>
          <w:numId w:val="18"/>
        </w:numPr>
      </w:pPr>
      <w:r>
        <w:t xml:space="preserve">Students </w:t>
      </w:r>
      <w:r w:rsidR="003668FF">
        <w:t>must not</w:t>
      </w:r>
      <w:r>
        <w:t xml:space="preserve"> change their accommodation, support or welfare arrangements during the approval period, without the written approval of</w:t>
      </w:r>
      <w:r w:rsidR="003668FF">
        <w:t>:</w:t>
      </w:r>
    </w:p>
    <w:p w14:paraId="4F81FE14" w14:textId="4EBC1AF9" w:rsidR="003668FF" w:rsidRDefault="006702DE" w:rsidP="003668FF">
      <w:pPr>
        <w:pStyle w:val="SecondLevel"/>
        <w:numPr>
          <w:ilvl w:val="2"/>
          <w:numId w:val="18"/>
        </w:numPr>
      </w:pPr>
      <w:r>
        <w:t xml:space="preserve">the </w:t>
      </w:r>
      <w:r w:rsidR="003668FF">
        <w:t xml:space="preserve">relevant delegate; </w:t>
      </w:r>
      <w:r w:rsidR="00BC6309">
        <w:t xml:space="preserve">and </w:t>
      </w:r>
    </w:p>
    <w:p w14:paraId="5BA5FDB5" w14:textId="48FD2912" w:rsidR="006702DE" w:rsidRDefault="00BC6309" w:rsidP="003668FF">
      <w:pPr>
        <w:pStyle w:val="SecondLevel"/>
        <w:numPr>
          <w:ilvl w:val="2"/>
          <w:numId w:val="18"/>
        </w:numPr>
      </w:pPr>
      <w:r>
        <w:t>their parent or legal guardian</w:t>
      </w:r>
      <w:r w:rsidR="00D370DB">
        <w:t>, or their welfare provider</w:t>
      </w:r>
      <w:r w:rsidR="006702DE">
        <w:t>.</w:t>
      </w:r>
    </w:p>
    <w:p w14:paraId="072EE654" w14:textId="06CBB1A3" w:rsidR="002B295B" w:rsidRDefault="00C25292" w:rsidP="00AC6FB6">
      <w:pPr>
        <w:pStyle w:val="Heading"/>
        <w:numPr>
          <w:ilvl w:val="0"/>
          <w:numId w:val="13"/>
        </w:numPr>
        <w:ind w:hanging="930"/>
        <w:outlineLvl w:val="0"/>
      </w:pPr>
      <w:bookmarkStart w:id="12" w:name="_Toc17105617"/>
      <w:r>
        <w:lastRenderedPageBreak/>
        <w:t>Required</w:t>
      </w:r>
      <w:r w:rsidR="002B295B">
        <w:t xml:space="preserve"> agreement</w:t>
      </w:r>
      <w:r w:rsidR="004B48CA">
        <w:t>s</w:t>
      </w:r>
      <w:bookmarkEnd w:id="12"/>
    </w:p>
    <w:p w14:paraId="2D46D7CE" w14:textId="64A9941E" w:rsidR="002B295B" w:rsidRDefault="004B48CA" w:rsidP="00007FF4">
      <w:pPr>
        <w:pStyle w:val="FirstLevel"/>
        <w:numPr>
          <w:ilvl w:val="1"/>
          <w:numId w:val="37"/>
        </w:numPr>
      </w:pPr>
      <w:r>
        <w:t xml:space="preserve">If a student requires University approved accommodation, support and welfare arrangements as referred to in subclause 7(1)(c), the student and their parent or legal </w:t>
      </w:r>
      <w:r w:rsidR="00594BDE">
        <w:t xml:space="preserve">guardian </w:t>
      </w:r>
      <w:r>
        <w:t>must enter into</w:t>
      </w:r>
      <w:r w:rsidR="00D56A10">
        <w:t xml:space="preserve"> and provide evidence of</w:t>
      </w:r>
      <w:r>
        <w:t xml:space="preserve"> the following agreements:</w:t>
      </w:r>
    </w:p>
    <w:p w14:paraId="08AFCCFD" w14:textId="309724A7" w:rsidR="00BC6309" w:rsidRDefault="00BC6309" w:rsidP="00502FD4">
      <w:pPr>
        <w:pStyle w:val="SecondLevel"/>
      </w:pPr>
      <w:r>
        <w:t>a binding agreement with the student’s accommodation provider; and</w:t>
      </w:r>
    </w:p>
    <w:p w14:paraId="5240FCA2" w14:textId="2B6E90EC" w:rsidR="00852CE3" w:rsidRDefault="00BC6309" w:rsidP="00502FD4">
      <w:pPr>
        <w:pStyle w:val="SecondLevel"/>
      </w:pPr>
      <w:r>
        <w:t>a binding agreement with the student’s welfare provider</w:t>
      </w:r>
      <w:r w:rsidR="00852CE3">
        <w:t>;</w:t>
      </w:r>
    </w:p>
    <w:p w14:paraId="2D83D06A" w14:textId="169F772D" w:rsidR="00502FD4" w:rsidRDefault="00852CE3" w:rsidP="00852CE3">
      <w:pPr>
        <w:pStyle w:val="SecondLevel"/>
        <w:numPr>
          <w:ilvl w:val="0"/>
          <w:numId w:val="0"/>
        </w:numPr>
        <w:ind w:left="567"/>
      </w:pPr>
      <w:r>
        <w:t xml:space="preserve">on or before the date of accepting </w:t>
      </w:r>
      <w:r w:rsidR="00CF5AA5">
        <w:t>the</w:t>
      </w:r>
      <w:r>
        <w:t xml:space="preserve"> offer of admission to the course.</w:t>
      </w:r>
    </w:p>
    <w:p w14:paraId="714DB45E" w14:textId="52A2B104" w:rsidR="00502FD4" w:rsidRDefault="00007FF4" w:rsidP="00502FD4">
      <w:pPr>
        <w:pStyle w:val="FirstLevel"/>
      </w:pPr>
      <w:r>
        <w:t>If a student requires University approved accommodation, support and welfare arrangements as referred to in subclause 7(1)(c), the student must accept the following terms and conditions, which will be detailed in the student’s offer of admission</w:t>
      </w:r>
      <w:r w:rsidR="00502FD4">
        <w:t>:</w:t>
      </w:r>
    </w:p>
    <w:p w14:paraId="5EDAC5E1" w14:textId="34927A27" w:rsidR="0080788F" w:rsidRDefault="00007FF4" w:rsidP="00502FD4">
      <w:pPr>
        <w:pStyle w:val="SecondLevel"/>
      </w:pPr>
      <w:r>
        <w:t>The student must agree to</w:t>
      </w:r>
      <w:r w:rsidR="0080788F">
        <w:t>:</w:t>
      </w:r>
    </w:p>
    <w:p w14:paraId="37C47144" w14:textId="58A43F6E" w:rsidR="001B7DFD" w:rsidRDefault="001B7DFD" w:rsidP="0080788F">
      <w:pPr>
        <w:pStyle w:val="ThirdLevel"/>
      </w:pPr>
      <w:r>
        <w:t xml:space="preserve">continue living in the approved accommodation until they are 18 years of age, unless </w:t>
      </w:r>
      <w:r w:rsidR="00B21F78">
        <w:t>alternative accommodation</w:t>
      </w:r>
      <w:r>
        <w:t xml:space="preserve"> is </w:t>
      </w:r>
      <w:r w:rsidR="004B48CA">
        <w:t xml:space="preserve">approved in writing </w:t>
      </w:r>
      <w:r>
        <w:t xml:space="preserve">by the University and a parent or legal </w:t>
      </w:r>
      <w:r w:rsidR="00594BDE">
        <w:t>guardian</w:t>
      </w:r>
      <w:r w:rsidR="00D370DB">
        <w:t>, or the student’s welfare provider</w:t>
      </w:r>
      <w:r w:rsidR="004B48CA">
        <w:t xml:space="preserve"> consistently with subclause 8(5)</w:t>
      </w:r>
      <w:r>
        <w:t>;</w:t>
      </w:r>
    </w:p>
    <w:p w14:paraId="0230F675" w14:textId="095D6BF0" w:rsidR="00C20591" w:rsidRDefault="00C20591" w:rsidP="0080788F">
      <w:pPr>
        <w:pStyle w:val="ThirdLevel"/>
      </w:pPr>
      <w:r>
        <w:t>provide the University with up-do-date records of, and inform the University of any changes to, the student’s contact details, including the contact details of the student’s parent(s), legal guardian or any adult responsible for the student’s welfare;</w:t>
      </w:r>
    </w:p>
    <w:p w14:paraId="44E4FE60" w14:textId="05C667E5" w:rsidR="0080788F" w:rsidRDefault="0080788F" w:rsidP="0080788F">
      <w:pPr>
        <w:pStyle w:val="ThirdLevel"/>
      </w:pPr>
      <w:r>
        <w:t>maintain</w:t>
      </w:r>
      <w:r w:rsidRPr="001B7DFD">
        <w:t xml:space="preserve"> one-to-one contact </w:t>
      </w:r>
      <w:r>
        <w:t xml:space="preserve">with their welfare provider, and attend </w:t>
      </w:r>
      <w:r w:rsidR="0044003B">
        <w:t xml:space="preserve">regular </w:t>
      </w:r>
      <w:r w:rsidRPr="001B7DFD">
        <w:t>phone and face-to-face meetings</w:t>
      </w:r>
      <w:r>
        <w:t>; and</w:t>
      </w:r>
    </w:p>
    <w:p w14:paraId="534A33C7" w14:textId="30223475" w:rsidR="0080788F" w:rsidRDefault="0080788F" w:rsidP="0080788F">
      <w:pPr>
        <w:pStyle w:val="ThirdLevel"/>
      </w:pPr>
      <w:r>
        <w:t>act responsibly, including being aware of their responsibilities under Australian law, and avoid illicit activities and risk</w:t>
      </w:r>
      <w:r w:rsidR="0042392B">
        <w:t>-</w:t>
      </w:r>
      <w:r>
        <w:t>taking behaviour.</w:t>
      </w:r>
    </w:p>
    <w:p w14:paraId="57986F4D" w14:textId="0AF15932" w:rsidR="0080788F" w:rsidRDefault="008735B7" w:rsidP="00502FD4">
      <w:pPr>
        <w:pStyle w:val="SecondLevel"/>
      </w:pPr>
      <w:r>
        <w:t xml:space="preserve">The student must acknowledge </w:t>
      </w:r>
      <w:r w:rsidR="001B7DFD">
        <w:t>that</w:t>
      </w:r>
      <w:r w:rsidR="0080788F">
        <w:t>:</w:t>
      </w:r>
    </w:p>
    <w:p w14:paraId="14858AFF" w14:textId="1F9300A1" w:rsidR="001B7DFD" w:rsidRDefault="0080788F" w:rsidP="0080788F">
      <w:pPr>
        <w:pStyle w:val="ThirdLevel"/>
      </w:pPr>
      <w:r>
        <w:t xml:space="preserve">the </w:t>
      </w:r>
      <w:r w:rsidR="00007FF4">
        <w:t>University is not</w:t>
      </w:r>
      <w:r w:rsidR="001B7DFD">
        <w:t xml:space="preserve"> responsible for any fees and costs associated with their accommodation and welfare arrangements;</w:t>
      </w:r>
    </w:p>
    <w:p w14:paraId="6CBC7F0A" w14:textId="52E349AA" w:rsidR="00713601" w:rsidRDefault="00713601" w:rsidP="0080788F">
      <w:pPr>
        <w:pStyle w:val="ThirdLevel"/>
      </w:pPr>
      <w:r>
        <w:t>the University is not legally responsible for the student’s actions whilst in Australia; and</w:t>
      </w:r>
    </w:p>
    <w:p w14:paraId="2B34ADB8" w14:textId="658BE7E5" w:rsidR="00207EC7" w:rsidRDefault="0044003B" w:rsidP="0080788F">
      <w:pPr>
        <w:pStyle w:val="ThirdLevel"/>
      </w:pPr>
      <w:r>
        <w:t xml:space="preserve">the </w:t>
      </w:r>
      <w:r w:rsidR="00207EC7">
        <w:t xml:space="preserve">University </w:t>
      </w:r>
      <w:r w:rsidR="0080788F">
        <w:t xml:space="preserve">is entitled </w:t>
      </w:r>
      <w:r w:rsidR="00207EC7">
        <w:t xml:space="preserve">to </w:t>
      </w:r>
      <w:r w:rsidR="006702DE">
        <w:t>withdraw</w:t>
      </w:r>
      <w:r w:rsidR="00B21F78">
        <w:t xml:space="preserve"> approval for </w:t>
      </w:r>
      <w:r>
        <w:t>the</w:t>
      </w:r>
      <w:r w:rsidR="00B21F78">
        <w:t xml:space="preserve"> student’s</w:t>
      </w:r>
      <w:r w:rsidR="00207EC7">
        <w:t xml:space="preserve"> accommodation</w:t>
      </w:r>
      <w:r w:rsidR="00B21F78">
        <w:t>, support</w:t>
      </w:r>
      <w:r w:rsidR="00207EC7">
        <w:t xml:space="preserve"> and </w:t>
      </w:r>
      <w:r w:rsidR="00B21F78">
        <w:t xml:space="preserve">welfare if the student is found to have breached these </w:t>
      </w:r>
      <w:r w:rsidR="008735B7">
        <w:t>terms and conditions</w:t>
      </w:r>
      <w:r w:rsidR="00B21F78">
        <w:t>.</w:t>
      </w:r>
    </w:p>
    <w:p w14:paraId="65BD75C9" w14:textId="7E98D216" w:rsidR="00BC6309" w:rsidRDefault="00394B36" w:rsidP="00BC6309">
      <w:pPr>
        <w:pStyle w:val="FirstLevel"/>
      </w:pPr>
      <w:r>
        <w:t>A</w:t>
      </w:r>
      <w:r w:rsidR="00BC6309">
        <w:t xml:space="preserve"> binding agreement with the student’s accommodation provider </w:t>
      </w:r>
      <w:r>
        <w:t>(</w:t>
      </w:r>
      <w:r w:rsidR="00BC6309">
        <w:t xml:space="preserve">referred to in </w:t>
      </w:r>
      <w:r>
        <w:t>subclause 9</w:t>
      </w:r>
      <w:r w:rsidR="00BC6309">
        <w:t>(</w:t>
      </w:r>
      <w:r w:rsidR="00340A7F">
        <w:t>1</w:t>
      </w:r>
      <w:r w:rsidR="00BC6309">
        <w:t>)(</w:t>
      </w:r>
      <w:r w:rsidR="00340A7F">
        <w:t>a</w:t>
      </w:r>
      <w:r w:rsidR="00BC6309">
        <w:t>)</w:t>
      </w:r>
      <w:r>
        <w:t>)</w:t>
      </w:r>
      <w:r w:rsidR="00BC6309">
        <w:t xml:space="preserve"> </w:t>
      </w:r>
      <w:r>
        <w:t xml:space="preserve">must </w:t>
      </w:r>
      <w:r w:rsidR="00BC6309">
        <w:t>require the accommodation provider to meet the University’s minimum standards for the relevant category of accommodation providers.</w:t>
      </w:r>
    </w:p>
    <w:p w14:paraId="356CF424" w14:textId="24B5F380" w:rsidR="00394B36" w:rsidRPr="003668FF" w:rsidRDefault="00394B36" w:rsidP="00394B36">
      <w:pPr>
        <w:pStyle w:val="Notes"/>
        <w:ind w:left="1287"/>
        <w:rPr>
          <w:i/>
        </w:rPr>
      </w:pPr>
      <w:r>
        <w:rPr>
          <w:b/>
        </w:rPr>
        <w:t>Note:</w:t>
      </w:r>
      <w:r>
        <w:tab/>
        <w:t xml:space="preserve">See the </w:t>
      </w:r>
      <w:r w:rsidR="0044003B">
        <w:t xml:space="preserve">schedules to the </w:t>
      </w:r>
      <w:hyperlink r:id="rId11" w:history="1">
        <w:r w:rsidR="000342ED" w:rsidRPr="0042392B">
          <w:rPr>
            <w:rStyle w:val="Hyperlink"/>
            <w:i/>
          </w:rPr>
          <w:t>Under 18 International Students</w:t>
        </w:r>
        <w:r w:rsidRPr="0042392B">
          <w:rPr>
            <w:rStyle w:val="Hyperlink"/>
            <w:i/>
          </w:rPr>
          <w:t xml:space="preserve"> Procedures</w:t>
        </w:r>
      </w:hyperlink>
      <w:r>
        <w:rPr>
          <w:i/>
        </w:rPr>
        <w:t xml:space="preserve"> </w:t>
      </w:r>
    </w:p>
    <w:p w14:paraId="46D72861" w14:textId="412F5AD8" w:rsidR="00BC6309" w:rsidRDefault="00394B36" w:rsidP="00BC6309">
      <w:pPr>
        <w:pStyle w:val="FirstLevel"/>
      </w:pPr>
      <w:r>
        <w:t>A</w:t>
      </w:r>
      <w:r w:rsidR="00BC6309">
        <w:t xml:space="preserve"> binding agreement with the student’s welfare provider </w:t>
      </w:r>
      <w:r>
        <w:t>(</w:t>
      </w:r>
      <w:r w:rsidR="00BC6309">
        <w:t xml:space="preserve">referred to in </w:t>
      </w:r>
      <w:r>
        <w:t>subclause 9</w:t>
      </w:r>
      <w:r w:rsidR="00BC6309">
        <w:t>(</w:t>
      </w:r>
      <w:r w:rsidR="00340A7F">
        <w:t>1</w:t>
      </w:r>
      <w:r w:rsidR="00BC6309">
        <w:t>)(</w:t>
      </w:r>
      <w:r w:rsidR="00340A7F">
        <w:t>b</w:t>
      </w:r>
      <w:r w:rsidR="00BC6309">
        <w:t>)</w:t>
      </w:r>
      <w:r>
        <w:t>)</w:t>
      </w:r>
      <w:r w:rsidR="00BC6309">
        <w:t xml:space="preserve"> </w:t>
      </w:r>
      <w:r>
        <w:t xml:space="preserve">must </w:t>
      </w:r>
      <w:r w:rsidR="00BC6309">
        <w:t>require the welfare provider to meet the University’s minimum standards for welfare providers.</w:t>
      </w:r>
    </w:p>
    <w:p w14:paraId="32EA584A" w14:textId="2763F9FE" w:rsidR="00394B36" w:rsidRPr="003668FF" w:rsidRDefault="00394B36" w:rsidP="00394B36">
      <w:pPr>
        <w:pStyle w:val="Notes"/>
        <w:numPr>
          <w:ilvl w:val="0"/>
          <w:numId w:val="26"/>
        </w:numPr>
        <w:ind w:left="1287" w:hanging="720"/>
        <w:rPr>
          <w:i/>
        </w:rPr>
      </w:pPr>
      <w:r>
        <w:rPr>
          <w:b/>
        </w:rPr>
        <w:t>Note:</w:t>
      </w:r>
      <w:r>
        <w:tab/>
        <w:t xml:space="preserve">See the </w:t>
      </w:r>
      <w:r w:rsidR="0044003B">
        <w:t xml:space="preserve">schedules to the </w:t>
      </w:r>
      <w:hyperlink r:id="rId12" w:history="1">
        <w:r w:rsidR="000342ED" w:rsidRPr="0042392B">
          <w:rPr>
            <w:rStyle w:val="Hyperlink"/>
            <w:i/>
          </w:rPr>
          <w:t>Under 18 International Students</w:t>
        </w:r>
        <w:r w:rsidRPr="0042392B">
          <w:rPr>
            <w:rStyle w:val="Hyperlink"/>
            <w:i/>
          </w:rPr>
          <w:t xml:space="preserve"> Procedures</w:t>
        </w:r>
      </w:hyperlink>
      <w:r>
        <w:rPr>
          <w:i/>
        </w:rPr>
        <w:t xml:space="preserve"> </w:t>
      </w:r>
    </w:p>
    <w:p w14:paraId="01661607" w14:textId="3A713454" w:rsidR="00F37748" w:rsidRDefault="001A6251" w:rsidP="008A1E3E">
      <w:pPr>
        <w:pStyle w:val="Heading"/>
        <w:keepNext/>
        <w:keepLines/>
        <w:widowControl w:val="0"/>
      </w:pPr>
      <w:bookmarkStart w:id="13" w:name="_Toc17105618"/>
      <w:r>
        <w:lastRenderedPageBreak/>
        <w:t>10</w:t>
      </w:r>
      <w:r w:rsidR="002A6A63">
        <w:tab/>
      </w:r>
      <w:r w:rsidR="00F37748">
        <w:t>Terminat</w:t>
      </w:r>
      <w:r w:rsidR="00911916">
        <w:t>ion</w:t>
      </w:r>
      <w:r w:rsidR="007A697F">
        <w:t>, suspension and cancellation</w:t>
      </w:r>
      <w:r w:rsidR="00911916">
        <w:t xml:space="preserve"> of enrolment</w:t>
      </w:r>
      <w:bookmarkEnd w:id="13"/>
    </w:p>
    <w:p w14:paraId="3F4EC3E5" w14:textId="486A10D5" w:rsidR="007A697F" w:rsidRDefault="007A697F" w:rsidP="008A1E3E">
      <w:pPr>
        <w:pStyle w:val="FirstLevel"/>
        <w:keepNext/>
        <w:keepLines/>
        <w:widowControl w:val="0"/>
        <w:numPr>
          <w:ilvl w:val="1"/>
          <w:numId w:val="24"/>
        </w:numPr>
      </w:pPr>
      <w:r>
        <w:t xml:space="preserve">Where the University </w:t>
      </w:r>
      <w:r w:rsidR="008C58F2">
        <w:t xml:space="preserve">or its </w:t>
      </w:r>
      <w:r w:rsidR="00AE59C2">
        <w:t>pathway</w:t>
      </w:r>
      <w:r w:rsidR="00397A4F">
        <w:t xml:space="preserve"> provider</w:t>
      </w:r>
      <w:r w:rsidR="008C58F2">
        <w:t xml:space="preserve"> </w:t>
      </w:r>
      <w:r>
        <w:t xml:space="preserve">terminates, suspends or cancels </w:t>
      </w:r>
      <w:r w:rsidR="001736A7">
        <w:t>a</w:t>
      </w:r>
      <w:r>
        <w:t xml:space="preserve"> student’s enrolment, the University will continue to monitor the suitability of the accommodation, support and welfare arrangements for that student until:</w:t>
      </w:r>
    </w:p>
    <w:p w14:paraId="0E317910" w14:textId="63A40FFA" w:rsidR="007A697F" w:rsidRDefault="00A72417" w:rsidP="007A697F">
      <w:pPr>
        <w:pStyle w:val="SecondLevel"/>
        <w:numPr>
          <w:ilvl w:val="2"/>
          <w:numId w:val="24"/>
        </w:numPr>
      </w:pPr>
      <w:r>
        <w:t>the student is accepted by another registered provider who assumes responsibility for approving the student’s accommodation, support and welfare arrangements;</w:t>
      </w:r>
    </w:p>
    <w:p w14:paraId="5BBEB0C6" w14:textId="6A4896C5" w:rsidR="00A72417" w:rsidRDefault="00A72417" w:rsidP="007A697F">
      <w:pPr>
        <w:pStyle w:val="SecondLevel"/>
        <w:numPr>
          <w:ilvl w:val="2"/>
          <w:numId w:val="24"/>
        </w:numPr>
      </w:pPr>
      <w:r>
        <w:t>the student leaves Australia;</w:t>
      </w:r>
    </w:p>
    <w:p w14:paraId="4496149A" w14:textId="4CA12100" w:rsidR="00C84F3B" w:rsidRDefault="00C84F3B" w:rsidP="007A697F">
      <w:pPr>
        <w:pStyle w:val="SecondLevel"/>
        <w:numPr>
          <w:ilvl w:val="2"/>
          <w:numId w:val="24"/>
        </w:numPr>
      </w:pPr>
      <w:r>
        <w:t>the Department approves care of the student by a parent or nominated relative;</w:t>
      </w:r>
    </w:p>
    <w:p w14:paraId="1C2FA138" w14:textId="37F7A936" w:rsidR="00A72417" w:rsidRDefault="00A72417" w:rsidP="007A697F">
      <w:pPr>
        <w:pStyle w:val="SecondLevel"/>
        <w:numPr>
          <w:ilvl w:val="2"/>
          <w:numId w:val="24"/>
        </w:numPr>
      </w:pPr>
      <w:r>
        <w:t>other suitable arrangements are made for the student; or</w:t>
      </w:r>
    </w:p>
    <w:p w14:paraId="32BC754E" w14:textId="77777777" w:rsidR="0042392B" w:rsidRDefault="00A72417" w:rsidP="007A697F">
      <w:pPr>
        <w:pStyle w:val="SecondLevel"/>
        <w:numPr>
          <w:ilvl w:val="2"/>
          <w:numId w:val="24"/>
        </w:numPr>
      </w:pPr>
      <w:r>
        <w:t>the University reports to the Department</w:t>
      </w:r>
      <w:r w:rsidR="0042392B">
        <w:t>:</w:t>
      </w:r>
    </w:p>
    <w:p w14:paraId="5A2069F8" w14:textId="3A6EADE3" w:rsidR="0042392B" w:rsidRDefault="00A72417" w:rsidP="0042392B">
      <w:pPr>
        <w:pStyle w:val="ThirdLevel"/>
        <w:numPr>
          <w:ilvl w:val="3"/>
          <w:numId w:val="24"/>
        </w:numPr>
      </w:pPr>
      <w:r>
        <w:t>that it can no longer approve the arrangements for the student</w:t>
      </w:r>
      <w:r w:rsidR="0042392B">
        <w:t>;</w:t>
      </w:r>
      <w:r w:rsidR="00723E6C">
        <w:t xml:space="preserve"> or</w:t>
      </w:r>
    </w:p>
    <w:p w14:paraId="7DCCE199" w14:textId="63E61A13" w:rsidR="00A72417" w:rsidRDefault="0042392B" w:rsidP="0042392B">
      <w:pPr>
        <w:pStyle w:val="ThirdLevel"/>
        <w:numPr>
          <w:ilvl w:val="3"/>
          <w:numId w:val="24"/>
        </w:numPr>
      </w:pPr>
      <w:r>
        <w:t>that it</w:t>
      </w:r>
      <w:r w:rsidR="00723E6C">
        <w:t xml:space="preserve"> </w:t>
      </w:r>
      <w:r w:rsidR="00723E6C" w:rsidRPr="00192E0A">
        <w:t>has concerns for the student’s welfare</w:t>
      </w:r>
      <w:r w:rsidR="00723E6C">
        <w:t xml:space="preserve"> and is </w:t>
      </w:r>
      <w:r w:rsidR="00723E6C" w:rsidRPr="00192E0A">
        <w:t xml:space="preserve">unable to contact </w:t>
      </w:r>
      <w:r w:rsidR="00723E6C">
        <w:t>the</w:t>
      </w:r>
      <w:r w:rsidR="00723E6C" w:rsidRPr="00192E0A">
        <w:t xml:space="preserve"> student </w:t>
      </w:r>
      <w:r w:rsidR="00723E6C">
        <w:t>after making all</w:t>
      </w:r>
      <w:r w:rsidR="00723E6C" w:rsidRPr="00192E0A">
        <w:t xml:space="preserve"> reasonable efforts to locate the student</w:t>
      </w:r>
      <w:r w:rsidR="00A72417">
        <w:t>.</w:t>
      </w:r>
    </w:p>
    <w:p w14:paraId="5E076F44" w14:textId="0AD9154B" w:rsidR="001736A7" w:rsidRDefault="001736A7" w:rsidP="001736A7">
      <w:pPr>
        <w:pStyle w:val="FirstLevel"/>
        <w:numPr>
          <w:ilvl w:val="1"/>
          <w:numId w:val="24"/>
        </w:numPr>
      </w:pPr>
      <w:r>
        <w:t xml:space="preserve">Where a student appeals the termination, suspension or cancellation of </w:t>
      </w:r>
      <w:r w:rsidR="00394B36">
        <w:t xml:space="preserve">their </w:t>
      </w:r>
      <w:r>
        <w:t>enrolment, the University will continue to monitor the suitability of the accommodation, support and welfare arrangements for that student until:</w:t>
      </w:r>
    </w:p>
    <w:p w14:paraId="2BCD5C38" w14:textId="435C8AE9" w:rsidR="001736A7" w:rsidRDefault="004030F5" w:rsidP="001736A7">
      <w:pPr>
        <w:pStyle w:val="SecondLevel"/>
        <w:numPr>
          <w:ilvl w:val="2"/>
          <w:numId w:val="24"/>
        </w:numPr>
      </w:pPr>
      <w:r>
        <w:t>all internal</w:t>
      </w:r>
      <w:r w:rsidR="00FC22C9">
        <w:t xml:space="preserve"> and external</w:t>
      </w:r>
      <w:r>
        <w:t xml:space="preserve"> appeals have been exhausted;</w:t>
      </w:r>
    </w:p>
    <w:p w14:paraId="79576317" w14:textId="05B31C2F" w:rsidR="004030F5" w:rsidRDefault="004030F5" w:rsidP="001736A7">
      <w:pPr>
        <w:pStyle w:val="SecondLevel"/>
        <w:numPr>
          <w:ilvl w:val="2"/>
          <w:numId w:val="24"/>
        </w:numPr>
      </w:pPr>
      <w:r>
        <w:t>other suitable arrangements are made for the student; or</w:t>
      </w:r>
    </w:p>
    <w:p w14:paraId="28815BFF" w14:textId="4DDCD5B2" w:rsidR="004030F5" w:rsidRPr="007A697F" w:rsidRDefault="004030F5" w:rsidP="004030F5">
      <w:pPr>
        <w:pStyle w:val="SecondLevel"/>
        <w:numPr>
          <w:ilvl w:val="2"/>
          <w:numId w:val="24"/>
        </w:numPr>
      </w:pPr>
      <w:r>
        <w:t>the University reports to the Department that it can no longer approve the arrangements for the student.</w:t>
      </w:r>
    </w:p>
    <w:p w14:paraId="177A5BB2" w14:textId="0579D1AC" w:rsidR="00723E6C" w:rsidRDefault="001A6251" w:rsidP="002A6A63">
      <w:pPr>
        <w:pStyle w:val="Heading"/>
      </w:pPr>
      <w:bookmarkStart w:id="14" w:name="_Toc17105619"/>
      <w:r>
        <w:t>11</w:t>
      </w:r>
      <w:r w:rsidR="00F37748">
        <w:tab/>
      </w:r>
      <w:r w:rsidR="00723E6C">
        <w:t>Transfers to and from another registered education provider</w:t>
      </w:r>
      <w:bookmarkEnd w:id="14"/>
    </w:p>
    <w:p w14:paraId="3BA6F33A" w14:textId="4126A2BA" w:rsidR="00723E6C" w:rsidRDefault="00B92B06" w:rsidP="00723E6C">
      <w:pPr>
        <w:pStyle w:val="FirstLevel"/>
        <w:numPr>
          <w:ilvl w:val="1"/>
          <w:numId w:val="41"/>
        </w:numPr>
      </w:pPr>
      <w:r>
        <w:t xml:space="preserve">If the University </w:t>
      </w:r>
      <w:r w:rsidR="008C58F2">
        <w:t xml:space="preserve">or its </w:t>
      </w:r>
      <w:r w:rsidR="00AE59C2">
        <w:t>pathway</w:t>
      </w:r>
      <w:r w:rsidR="00397A4F">
        <w:t xml:space="preserve"> provider</w:t>
      </w:r>
      <w:r w:rsidR="008C58F2">
        <w:t xml:space="preserve"> </w:t>
      </w:r>
      <w:r>
        <w:t>enrols a student under the age of 18 who has welfare arrangements approved by another registered education provider, the University will:</w:t>
      </w:r>
    </w:p>
    <w:p w14:paraId="1A2BC860" w14:textId="5DE338C6" w:rsidR="00B92B06" w:rsidRDefault="00B92B06" w:rsidP="00B92B06">
      <w:pPr>
        <w:pStyle w:val="SecondLevel"/>
        <w:numPr>
          <w:ilvl w:val="2"/>
          <w:numId w:val="41"/>
        </w:numPr>
      </w:pPr>
      <w:r>
        <w:t>negotiate the transfer date for welfare arrangements with the other provider, to ensure there is no gap;</w:t>
      </w:r>
    </w:p>
    <w:p w14:paraId="79697610" w14:textId="67F99298" w:rsidR="00B92B06" w:rsidRDefault="00B92B06" w:rsidP="00B92B06">
      <w:pPr>
        <w:pStyle w:val="SecondLevel"/>
        <w:numPr>
          <w:ilvl w:val="2"/>
          <w:numId w:val="41"/>
        </w:numPr>
      </w:pPr>
      <w:r>
        <w:t>inform the student of their obligation to maintain their current welfare arrangements until the transfer date, or have alternative welfare arrangements approved or return to their home country until the new approved welfare arrangements take place;</w:t>
      </w:r>
    </w:p>
    <w:p w14:paraId="32043F35" w14:textId="257DF43B" w:rsidR="00B92B06" w:rsidRPr="0078135C" w:rsidRDefault="0078135C" w:rsidP="00B92B06">
      <w:pPr>
        <w:pStyle w:val="SecondLevel"/>
        <w:numPr>
          <w:ilvl w:val="2"/>
          <w:numId w:val="41"/>
        </w:numPr>
      </w:pPr>
      <w:r>
        <w:rPr>
          <w:bCs/>
        </w:rPr>
        <w:t xml:space="preserve">ensure it has </w:t>
      </w:r>
      <w:r w:rsidRPr="003567E7">
        <w:rPr>
          <w:bCs/>
        </w:rPr>
        <w:t xml:space="preserve">written confirmation </w:t>
      </w:r>
      <w:r>
        <w:rPr>
          <w:bCs/>
        </w:rPr>
        <w:t xml:space="preserve">from </w:t>
      </w:r>
      <w:r w:rsidRPr="003567E7">
        <w:rPr>
          <w:bCs/>
        </w:rPr>
        <w:t>the student’s parent</w:t>
      </w:r>
      <w:r>
        <w:rPr>
          <w:bCs/>
        </w:rPr>
        <w:t>(s)</w:t>
      </w:r>
      <w:r w:rsidRPr="003567E7">
        <w:rPr>
          <w:bCs/>
        </w:rPr>
        <w:t xml:space="preserve"> or legal guardian </w:t>
      </w:r>
      <w:r>
        <w:rPr>
          <w:bCs/>
        </w:rPr>
        <w:t>endorsing</w:t>
      </w:r>
      <w:r w:rsidRPr="003567E7">
        <w:rPr>
          <w:bCs/>
        </w:rPr>
        <w:t xml:space="preserve"> the transfer</w:t>
      </w:r>
      <w:r>
        <w:rPr>
          <w:bCs/>
        </w:rPr>
        <w:t>; and</w:t>
      </w:r>
    </w:p>
    <w:p w14:paraId="6C0F3B45" w14:textId="522A93B2" w:rsidR="0078135C" w:rsidRPr="00723E6C" w:rsidRDefault="0078135C" w:rsidP="00B92B06">
      <w:pPr>
        <w:pStyle w:val="SecondLevel"/>
        <w:numPr>
          <w:ilvl w:val="2"/>
          <w:numId w:val="41"/>
        </w:numPr>
      </w:pPr>
      <w:r w:rsidRPr="003567E7">
        <w:rPr>
          <w:bCs/>
        </w:rPr>
        <w:t>where the student is not being cared for in Australia by a parent or relative, confirm it accepts responsibility for approving the student’s accommodation and welfare arrangements</w:t>
      </w:r>
      <w:r>
        <w:rPr>
          <w:bCs/>
        </w:rPr>
        <w:t>.</w:t>
      </w:r>
    </w:p>
    <w:p w14:paraId="55A9AD41" w14:textId="18C185C2" w:rsidR="00A86820" w:rsidRDefault="00723E6C" w:rsidP="008A1E3E">
      <w:pPr>
        <w:pStyle w:val="Heading"/>
        <w:keepNext/>
        <w:keepLines/>
        <w:widowControl w:val="0"/>
      </w:pPr>
      <w:bookmarkStart w:id="15" w:name="_Toc17105620"/>
      <w:r>
        <w:lastRenderedPageBreak/>
        <w:t>12</w:t>
      </w:r>
      <w:r>
        <w:tab/>
      </w:r>
      <w:r w:rsidR="00A86820">
        <w:t>Termination of welfare arrangements</w:t>
      </w:r>
      <w:bookmarkEnd w:id="15"/>
    </w:p>
    <w:p w14:paraId="14C4CBAD" w14:textId="0FFC4CEE" w:rsidR="008C0B56" w:rsidRDefault="008C0B56" w:rsidP="008A1E3E">
      <w:pPr>
        <w:pStyle w:val="FirstLevel"/>
        <w:keepNext/>
        <w:keepLines/>
        <w:widowControl w:val="0"/>
        <w:numPr>
          <w:ilvl w:val="1"/>
          <w:numId w:val="43"/>
        </w:numPr>
      </w:pPr>
      <w:r>
        <w:t>If the University</w:t>
      </w:r>
      <w:r w:rsidR="008C58F2">
        <w:t xml:space="preserve"> or its </w:t>
      </w:r>
      <w:r w:rsidR="00AE59C2">
        <w:t>pathway</w:t>
      </w:r>
      <w:r w:rsidR="00397A4F">
        <w:t xml:space="preserve"> provider</w:t>
      </w:r>
      <w:r>
        <w:t xml:space="preserve"> is unable to contact a student and has concerns for the student’s welfare, the University</w:t>
      </w:r>
      <w:r w:rsidR="008C58F2">
        <w:t xml:space="preserve"> or its </w:t>
      </w:r>
      <w:r w:rsidR="00AE59C2">
        <w:t>pathway</w:t>
      </w:r>
      <w:r w:rsidR="00397A4F">
        <w:t xml:space="preserve"> provider</w:t>
      </w:r>
      <w:r>
        <w:t xml:space="preserve"> will make all reasonable efforts to locate the student, including notifying the police and any other relevant Commonwealth or State agencies as soon as practicable.</w:t>
      </w:r>
    </w:p>
    <w:p w14:paraId="2365F054" w14:textId="08B5AFD6" w:rsidR="00A86820" w:rsidRDefault="00A86820" w:rsidP="00A86820">
      <w:pPr>
        <w:pStyle w:val="FirstLevel"/>
        <w:numPr>
          <w:ilvl w:val="1"/>
          <w:numId w:val="43"/>
        </w:numPr>
      </w:pPr>
      <w:r>
        <w:t>If the University</w:t>
      </w:r>
      <w:r w:rsidR="008C58F2">
        <w:t xml:space="preserve"> </w:t>
      </w:r>
      <w:r>
        <w:t>is no longer able to approve the welfare arrangements of a student, the University will:</w:t>
      </w:r>
    </w:p>
    <w:p w14:paraId="44CC2633" w14:textId="6D2A730F" w:rsidR="00A86820" w:rsidRDefault="00A86820" w:rsidP="00A86820">
      <w:pPr>
        <w:pStyle w:val="SecondLevel"/>
        <w:numPr>
          <w:ilvl w:val="2"/>
          <w:numId w:val="43"/>
        </w:numPr>
      </w:pPr>
      <w:r>
        <w:t>make all reasonable efforts to ensure that the student’s parents or legal guardians are notified immediately;</w:t>
      </w:r>
    </w:p>
    <w:p w14:paraId="22608DBE" w14:textId="599BD37C" w:rsidR="00A86820" w:rsidRPr="00A86820" w:rsidRDefault="008C0B56" w:rsidP="00A86820">
      <w:pPr>
        <w:pStyle w:val="SecondLevel"/>
        <w:numPr>
          <w:ilvl w:val="2"/>
          <w:numId w:val="43"/>
        </w:numPr>
      </w:pPr>
      <w:r>
        <w:t>notify the Department within 24 hours.</w:t>
      </w:r>
    </w:p>
    <w:p w14:paraId="100BCE09" w14:textId="663BE8FC" w:rsidR="00D8723C" w:rsidRDefault="00A86820" w:rsidP="002A6A63">
      <w:pPr>
        <w:pStyle w:val="Heading"/>
      </w:pPr>
      <w:bookmarkStart w:id="16" w:name="_Toc17105621"/>
      <w:r>
        <w:t>13</w:t>
      </w:r>
      <w:r>
        <w:tab/>
      </w:r>
      <w:r w:rsidR="00D8723C">
        <w:t>Compliance reviews</w:t>
      </w:r>
      <w:bookmarkEnd w:id="16"/>
    </w:p>
    <w:p w14:paraId="42FE25CF" w14:textId="291E9B4F" w:rsidR="00D8723C" w:rsidRDefault="00D8723C" w:rsidP="002D7FAC">
      <w:pPr>
        <w:pStyle w:val="FirstLevel"/>
        <w:numPr>
          <w:ilvl w:val="1"/>
          <w:numId w:val="33"/>
        </w:numPr>
      </w:pPr>
      <w:r>
        <w:t xml:space="preserve">The </w:t>
      </w:r>
      <w:r w:rsidR="00A86820">
        <w:t>Compliance Unit</w:t>
      </w:r>
      <w:r w:rsidR="00394B36">
        <w:t xml:space="preserve"> </w:t>
      </w:r>
      <w:r w:rsidR="0042392B">
        <w:t xml:space="preserve">in the Deputy Vice-Chancellor (Education) portfolio </w:t>
      </w:r>
      <w:r>
        <w:t>will review compliance with this policy and report to the Deputy Vice-Chancellor (</w:t>
      </w:r>
      <w:r w:rsidR="0032620B">
        <w:t>Education</w:t>
      </w:r>
      <w:r>
        <w:t>),</w:t>
      </w:r>
      <w:r w:rsidRPr="00D8723C">
        <w:t xml:space="preserve"> </w:t>
      </w:r>
      <w:r>
        <w:t>on a</w:t>
      </w:r>
      <w:r w:rsidR="008735B7">
        <w:t>n</w:t>
      </w:r>
      <w:r>
        <w:t xml:space="preserve"> annual basis.</w:t>
      </w:r>
    </w:p>
    <w:p w14:paraId="7F3AAB26" w14:textId="2AD2CCBA" w:rsidR="002D7FAC" w:rsidRDefault="002D7FAC" w:rsidP="002D7FAC">
      <w:pPr>
        <w:pStyle w:val="FirstLevel"/>
      </w:pPr>
      <w:r>
        <w:t xml:space="preserve">Each annual report </w:t>
      </w:r>
      <w:r w:rsidR="00394B36">
        <w:t xml:space="preserve">must be approved by the </w:t>
      </w:r>
      <w:r w:rsidR="008034DC">
        <w:t xml:space="preserve">Deputy Vice-Chancellor (Education) </w:t>
      </w:r>
      <w:r w:rsidR="00394B36">
        <w:t xml:space="preserve">and </w:t>
      </w:r>
      <w:r>
        <w:t>include:</w:t>
      </w:r>
    </w:p>
    <w:p w14:paraId="08C4D103" w14:textId="35130B04" w:rsidR="002D7FAC" w:rsidRDefault="002D7FAC" w:rsidP="002D7FAC">
      <w:pPr>
        <w:pStyle w:val="SecondLevel"/>
      </w:pPr>
      <w:r>
        <w:t>statistical data, including student numbers and courses of study;</w:t>
      </w:r>
    </w:p>
    <w:p w14:paraId="5BC5246B" w14:textId="61C203ED" w:rsidR="002D7FAC" w:rsidRDefault="001F7C8C" w:rsidP="002D7FAC">
      <w:pPr>
        <w:pStyle w:val="SecondLevel"/>
      </w:pPr>
      <w:r>
        <w:t xml:space="preserve">results of </w:t>
      </w:r>
      <w:r w:rsidR="002D7FAC">
        <w:t xml:space="preserve">accommodation provider and welfare provider </w:t>
      </w:r>
      <w:r>
        <w:t>audits</w:t>
      </w:r>
      <w:r w:rsidR="002D7FAC">
        <w:t>;</w:t>
      </w:r>
      <w:r>
        <w:t xml:space="preserve"> and</w:t>
      </w:r>
    </w:p>
    <w:p w14:paraId="0E15241C" w14:textId="112F56E9" w:rsidR="002D7FAC" w:rsidRPr="00D8723C" w:rsidRDefault="002D7FAC" w:rsidP="002D7FAC">
      <w:pPr>
        <w:pStyle w:val="SecondLevel"/>
      </w:pPr>
      <w:r>
        <w:t>details of student complaints and outcomes.</w:t>
      </w:r>
    </w:p>
    <w:p w14:paraId="606BAF9D" w14:textId="77777777" w:rsidR="00E57E69" w:rsidRDefault="00E57E69" w:rsidP="00E57E69">
      <w:pPr>
        <w:spacing w:after="0"/>
        <w:rPr>
          <w:rFonts w:eastAsia="Calibri"/>
        </w:rPr>
      </w:pPr>
    </w:p>
    <w:p w14:paraId="73B01E33" w14:textId="77777777" w:rsidR="008A1E3E" w:rsidRDefault="008A1E3E" w:rsidP="00E57E69">
      <w:pPr>
        <w:spacing w:after="0"/>
        <w:rPr>
          <w:rFonts w:eastAsia="Calibri"/>
        </w:rPr>
      </w:pPr>
    </w:p>
    <w:p w14:paraId="23508AF4" w14:textId="1424610E" w:rsidR="00E57E69" w:rsidRDefault="00E57E69" w:rsidP="00E57E69">
      <w:pPr>
        <w:pStyle w:val="Heading2"/>
      </w:pPr>
      <w:bookmarkStart w:id="17" w:name="_Toc138496788"/>
      <w:r>
        <w:t>Notes</w:t>
      </w:r>
      <w:bookmarkEnd w:id="17"/>
    </w:p>
    <w:p w14:paraId="4ECAA178" w14:textId="470494CB" w:rsidR="00266249" w:rsidRPr="00394B36" w:rsidRDefault="000342ED" w:rsidP="00E57E69">
      <w:pPr>
        <w:pStyle w:val="Text"/>
        <w:rPr>
          <w:b/>
        </w:rPr>
      </w:pPr>
      <w:r>
        <w:rPr>
          <w:b/>
        </w:rPr>
        <w:t>Under 18</w:t>
      </w:r>
      <w:r w:rsidR="00266249" w:rsidRPr="00394B36">
        <w:rPr>
          <w:b/>
        </w:rPr>
        <w:t xml:space="preserve"> International Students Policy 201</w:t>
      </w:r>
      <w:r w:rsidR="006925DD">
        <w:rPr>
          <w:b/>
        </w:rPr>
        <w:t>6</w:t>
      </w:r>
    </w:p>
    <w:p w14:paraId="46566709" w14:textId="2B333F29" w:rsidR="00E57E69" w:rsidRDefault="00E57E69" w:rsidP="00E57E69">
      <w:pPr>
        <w:pStyle w:val="Text"/>
      </w:pPr>
      <w:r>
        <w:t>Date registered:</w:t>
      </w:r>
      <w:r w:rsidR="00C800AF">
        <w:tab/>
      </w:r>
      <w:r w:rsidR="00C800AF">
        <w:tab/>
        <w:t>15 June 2016</w:t>
      </w:r>
    </w:p>
    <w:p w14:paraId="7BBB9809" w14:textId="03D642BB" w:rsidR="00E57E69" w:rsidRDefault="00E57E69" w:rsidP="00E57E69">
      <w:pPr>
        <w:pStyle w:val="Text"/>
      </w:pPr>
      <w:r>
        <w:t>Date commenced</w:t>
      </w:r>
      <w:r w:rsidR="00C800AF">
        <w:t>:</w:t>
      </w:r>
      <w:r w:rsidR="00C800AF">
        <w:tab/>
      </w:r>
      <w:r w:rsidR="00B717FD">
        <w:t>1 July 2016</w:t>
      </w:r>
    </w:p>
    <w:p w14:paraId="486B83E6" w14:textId="1F8D4FCB" w:rsidR="00A0454E" w:rsidRDefault="00A0454E" w:rsidP="00E57E69">
      <w:pPr>
        <w:pStyle w:val="Text"/>
      </w:pPr>
      <w:r>
        <w:t>Date amended:</w:t>
      </w:r>
      <w:r w:rsidR="00B77668">
        <w:tab/>
      </w:r>
      <w:r w:rsidR="00B77668">
        <w:tab/>
        <w:t>7 June 2017 (administrative amendment only)</w:t>
      </w:r>
    </w:p>
    <w:p w14:paraId="20302D66" w14:textId="54E1B7DF" w:rsidR="00B53C84" w:rsidRDefault="00B53C84" w:rsidP="00293C83">
      <w:pPr>
        <w:pStyle w:val="Text"/>
        <w:ind w:left="1440" w:firstLine="720"/>
      </w:pPr>
      <w:r>
        <w:t>4 May 2018 (administrative amendment only)</w:t>
      </w:r>
    </w:p>
    <w:p w14:paraId="7257BDC0" w14:textId="094760F4" w:rsidR="00293C83" w:rsidRDefault="00FF287F" w:rsidP="00293C83">
      <w:pPr>
        <w:pStyle w:val="Text"/>
        <w:ind w:left="1440" w:firstLine="720"/>
      </w:pPr>
      <w:r>
        <w:t>2</w:t>
      </w:r>
      <w:r w:rsidR="00772571">
        <w:t xml:space="preserve">4 </w:t>
      </w:r>
      <w:r>
        <w:t>March 2019 (administrative amendment only)</w:t>
      </w:r>
    </w:p>
    <w:p w14:paraId="125F282A" w14:textId="46838FD3" w:rsidR="00874C2F" w:rsidRDefault="00874C2F" w:rsidP="00293C83">
      <w:pPr>
        <w:pStyle w:val="Text"/>
        <w:ind w:left="1440" w:firstLine="720"/>
      </w:pPr>
      <w:r>
        <w:t>1</w:t>
      </w:r>
      <w:r w:rsidR="00DD1A4F">
        <w:t xml:space="preserve">4 </w:t>
      </w:r>
      <w:r>
        <w:t>August 2019</w:t>
      </w:r>
    </w:p>
    <w:p w14:paraId="403170E3" w14:textId="6D7DC995" w:rsidR="008A1E3E" w:rsidRDefault="008A1E3E" w:rsidP="00293C83">
      <w:pPr>
        <w:pStyle w:val="Text"/>
        <w:ind w:left="1440" w:firstLine="720"/>
      </w:pPr>
      <w:r>
        <w:t>14 April 2021</w:t>
      </w:r>
    </w:p>
    <w:p w14:paraId="0677DE52" w14:textId="7BCD0A68" w:rsidR="003051C1" w:rsidRDefault="003051C1" w:rsidP="00293C83">
      <w:pPr>
        <w:pStyle w:val="Text"/>
        <w:ind w:left="1440" w:firstLine="720"/>
      </w:pPr>
      <w:r>
        <w:t>12 May 2023 (Administrative amendment only)</w:t>
      </w:r>
    </w:p>
    <w:p w14:paraId="1CFFE943" w14:textId="37D04948" w:rsidR="006016BD" w:rsidRDefault="006016BD" w:rsidP="00293C83">
      <w:pPr>
        <w:pStyle w:val="Text"/>
        <w:ind w:left="1440" w:firstLine="720"/>
      </w:pPr>
      <w:r>
        <w:t>1</w:t>
      </w:r>
      <w:r w:rsidR="00B2433E">
        <w:t>6</w:t>
      </w:r>
      <w:r>
        <w:t xml:space="preserve"> April 2024 (administrative amendment)</w:t>
      </w:r>
    </w:p>
    <w:p w14:paraId="0B91909F" w14:textId="1FCBE1D9" w:rsidR="00B006D1" w:rsidRDefault="00B006D1" w:rsidP="00293C83">
      <w:pPr>
        <w:pStyle w:val="Text"/>
        <w:ind w:left="1440" w:firstLine="720"/>
      </w:pPr>
      <w:r>
        <w:t>1 May 2024 (administrative amendment)</w:t>
      </w:r>
    </w:p>
    <w:p w14:paraId="66C49451" w14:textId="2D0AA331" w:rsidR="00E57E69" w:rsidRPr="00394B36" w:rsidRDefault="00266249" w:rsidP="00E57E69">
      <w:pPr>
        <w:pStyle w:val="Text"/>
      </w:pPr>
      <w:r>
        <w:t xml:space="preserve">Administrator: </w:t>
      </w:r>
      <w:r w:rsidR="00C800AF">
        <w:tab/>
      </w:r>
      <w:r w:rsidR="00C800AF">
        <w:tab/>
      </w:r>
      <w:r w:rsidRPr="00394B36">
        <w:t>D</w:t>
      </w:r>
      <w:r w:rsidR="00A052CE">
        <w:t>eputy Vice-Chancellor (</w:t>
      </w:r>
      <w:r w:rsidR="0032620B">
        <w:t>Education</w:t>
      </w:r>
      <w:r w:rsidR="00A052CE">
        <w:t>)</w:t>
      </w:r>
      <w:r w:rsidR="00394B36" w:rsidRPr="00394B36" w:rsidDel="00394B36">
        <w:t xml:space="preserve"> </w:t>
      </w:r>
    </w:p>
    <w:p w14:paraId="1E7ADBCB" w14:textId="76CFB81A" w:rsidR="00E57E69" w:rsidRDefault="00E57E69" w:rsidP="00E57E69">
      <w:pPr>
        <w:pStyle w:val="Text"/>
      </w:pPr>
      <w:r>
        <w:lastRenderedPageBreak/>
        <w:t>Review date</w:t>
      </w:r>
      <w:r w:rsidR="00C800AF">
        <w:t>:</w:t>
      </w:r>
      <w:r w:rsidR="00C800AF">
        <w:tab/>
      </w:r>
      <w:r w:rsidR="00C800AF">
        <w:tab/>
      </w:r>
      <w:r w:rsidR="00B717FD">
        <w:t>1 July 2021</w:t>
      </w:r>
    </w:p>
    <w:p w14:paraId="6A4EB197" w14:textId="19D6C30C" w:rsidR="000970ED" w:rsidRPr="00C25292" w:rsidRDefault="00266249" w:rsidP="000970ED">
      <w:pPr>
        <w:pStyle w:val="Text"/>
      </w:pPr>
      <w:r>
        <w:t>Rescinded documents</w:t>
      </w:r>
      <w:r w:rsidR="00C800AF">
        <w:t>:</w:t>
      </w:r>
      <w:r w:rsidR="00C800AF">
        <w:tab/>
      </w:r>
      <w:r w:rsidR="00C25292">
        <w:t>None</w:t>
      </w:r>
    </w:p>
    <w:p w14:paraId="602309B5" w14:textId="04614DCC" w:rsidR="00E57E69" w:rsidRPr="00C25292" w:rsidRDefault="00E57E69" w:rsidP="008A1E3E">
      <w:pPr>
        <w:pStyle w:val="Text"/>
        <w:keepNext/>
        <w:keepLines/>
        <w:widowControl w:val="0"/>
        <w:ind w:left="2160" w:hanging="2160"/>
      </w:pPr>
      <w:r>
        <w:t xml:space="preserve">Related documents: </w:t>
      </w:r>
      <w:r>
        <w:rPr>
          <w:i/>
        </w:rPr>
        <w:tab/>
      </w:r>
      <w:r w:rsidR="00C25292" w:rsidRPr="004A5192">
        <w:rPr>
          <w:i/>
        </w:rPr>
        <w:t>Education Services for Overseas Students Act 2000</w:t>
      </w:r>
      <w:r w:rsidR="00C25292">
        <w:rPr>
          <w:i/>
        </w:rPr>
        <w:t xml:space="preserve"> </w:t>
      </w:r>
      <w:r w:rsidR="00C25292" w:rsidRPr="00FC306D">
        <w:t>(Cth)</w:t>
      </w:r>
    </w:p>
    <w:p w14:paraId="68D8E978" w14:textId="38CCCFFE" w:rsidR="00415891" w:rsidRPr="008A1E3E" w:rsidRDefault="00AE4033" w:rsidP="008A1E3E">
      <w:pPr>
        <w:pStyle w:val="Text"/>
        <w:keepNext/>
        <w:keepLines/>
        <w:widowControl w:val="0"/>
        <w:ind w:left="2160"/>
        <w:rPr>
          <w:i/>
        </w:rPr>
      </w:pPr>
      <w:hyperlink r:id="rId13" w:history="1">
        <w:r w:rsidR="00415891" w:rsidRPr="008A1E3E">
          <w:rPr>
            <w:rStyle w:val="frag-name"/>
            <w:i/>
            <w:iCs/>
            <w:shd w:val="clear" w:color="auto" w:fill="FFFFFF"/>
          </w:rPr>
          <w:t>Children’s Guardian Act 2019</w:t>
        </w:r>
      </w:hyperlink>
    </w:p>
    <w:p w14:paraId="57F21384" w14:textId="2E8CC11B" w:rsidR="004A5192" w:rsidRDefault="004A5192" w:rsidP="000342ED">
      <w:pPr>
        <w:pStyle w:val="Text"/>
        <w:ind w:left="2160"/>
      </w:pPr>
      <w:r w:rsidRPr="00A33DD8">
        <w:rPr>
          <w:i/>
        </w:rPr>
        <w:t>National Code of Practice for Providers of Education and Training to Overseas Students</w:t>
      </w:r>
      <w:r w:rsidR="00CD2A82">
        <w:rPr>
          <w:i/>
        </w:rPr>
        <w:t xml:space="preserve"> 2018</w:t>
      </w:r>
      <w:r>
        <w:t xml:space="preserve"> </w:t>
      </w:r>
    </w:p>
    <w:p w14:paraId="4705250A" w14:textId="0A94DBC5" w:rsidR="00415891" w:rsidRDefault="00415891" w:rsidP="00415891">
      <w:pPr>
        <w:pStyle w:val="Text"/>
        <w:ind w:left="2160"/>
        <w:rPr>
          <w:i/>
        </w:rPr>
      </w:pPr>
      <w:r>
        <w:rPr>
          <w:i/>
        </w:rPr>
        <w:t xml:space="preserve">Working with Children </w:t>
      </w:r>
      <w:r w:rsidR="003051C1">
        <w:rPr>
          <w:i/>
        </w:rPr>
        <w:t xml:space="preserve">and Vulnerable Adults </w:t>
      </w:r>
      <w:r>
        <w:rPr>
          <w:i/>
        </w:rPr>
        <w:t>Policy</w:t>
      </w:r>
    </w:p>
    <w:p w14:paraId="23156C0C" w14:textId="5575F62B" w:rsidR="000972A4" w:rsidRDefault="00855C7B" w:rsidP="000342ED">
      <w:pPr>
        <w:pStyle w:val="Text"/>
        <w:ind w:left="2160"/>
        <w:rPr>
          <w:i/>
        </w:rPr>
      </w:pPr>
      <w:r>
        <w:rPr>
          <w:i/>
        </w:rPr>
        <w:t>Student Critical Incidents Procedures</w:t>
      </w:r>
    </w:p>
    <w:p w14:paraId="0D5322D7" w14:textId="0C673889" w:rsidR="00E57E69" w:rsidRDefault="000342ED" w:rsidP="000342ED">
      <w:pPr>
        <w:pStyle w:val="Text"/>
        <w:ind w:left="2160"/>
        <w:rPr>
          <w:i/>
        </w:rPr>
      </w:pPr>
      <w:r w:rsidRPr="004A5192">
        <w:rPr>
          <w:i/>
        </w:rPr>
        <w:t xml:space="preserve">Under 18 International </w:t>
      </w:r>
      <w:r w:rsidR="00C25292" w:rsidRPr="004A5192">
        <w:rPr>
          <w:i/>
        </w:rPr>
        <w:t>Students</w:t>
      </w:r>
      <w:r w:rsidRPr="004A5192">
        <w:rPr>
          <w:i/>
        </w:rPr>
        <w:t xml:space="preserve"> </w:t>
      </w:r>
      <w:r w:rsidR="00C25292" w:rsidRPr="004A5192">
        <w:rPr>
          <w:i/>
        </w:rPr>
        <w:t>Procedures</w:t>
      </w:r>
    </w:p>
    <w:p w14:paraId="55ECD92A" w14:textId="6EF0AA78" w:rsidR="00415891" w:rsidRDefault="00415891" w:rsidP="000342ED">
      <w:pPr>
        <w:pStyle w:val="Text"/>
        <w:ind w:left="2160"/>
        <w:rPr>
          <w:i/>
        </w:rPr>
      </w:pPr>
      <w:r>
        <w:rPr>
          <w:i/>
        </w:rPr>
        <w:t xml:space="preserve">Working with Children Procedures </w:t>
      </w:r>
      <w:r w:rsidR="003051C1">
        <w:rPr>
          <w:i/>
        </w:rPr>
        <w:t>- Staff and Affiliates</w:t>
      </w:r>
    </w:p>
    <w:p w14:paraId="2791BDE8" w14:textId="21C8C178" w:rsidR="003051C1" w:rsidRPr="004A5192" w:rsidRDefault="003051C1" w:rsidP="000342ED">
      <w:pPr>
        <w:pStyle w:val="Text"/>
        <w:ind w:left="2160"/>
        <w:rPr>
          <w:i/>
        </w:rPr>
      </w:pPr>
      <w:r>
        <w:rPr>
          <w:i/>
        </w:rPr>
        <w:t>Working with Children Procedures – Students</w:t>
      </w:r>
    </w:p>
    <w:p w14:paraId="0A017609" w14:textId="0C2CD999" w:rsidR="00D33120" w:rsidRDefault="00D33120" w:rsidP="00E57E69"/>
    <w:p w14:paraId="2FA48917" w14:textId="77777777" w:rsidR="008A1E3E" w:rsidRDefault="008A1E3E" w:rsidP="00E57E69"/>
    <w:p w14:paraId="771D801A" w14:textId="77777777" w:rsidR="00E57E69" w:rsidRDefault="00E57E69" w:rsidP="00E57E69">
      <w:r>
        <w:t>_______________________________________________________________________</w:t>
      </w:r>
    </w:p>
    <w:p w14:paraId="41C857DC" w14:textId="77777777" w:rsidR="00E57E69" w:rsidRPr="00FF287F" w:rsidRDefault="00E57E69" w:rsidP="00E57E69">
      <w:pPr>
        <w:pStyle w:val="Heading2"/>
        <w:rPr>
          <w:color w:val="auto"/>
        </w:rPr>
      </w:pPr>
      <w:bookmarkStart w:id="18" w:name="_Toc138496789"/>
      <w:r>
        <w:t>Amendment history</w:t>
      </w:r>
      <w:bookmarkEnd w:id="18"/>
    </w:p>
    <w:tbl>
      <w:tblPr>
        <w:tblW w:w="0" w:type="auto"/>
        <w:tblLook w:val="00A0" w:firstRow="1" w:lastRow="0" w:firstColumn="1" w:lastColumn="0" w:noHBand="0" w:noVBand="0"/>
      </w:tblPr>
      <w:tblGrid>
        <w:gridCol w:w="1851"/>
        <w:gridCol w:w="4349"/>
        <w:gridCol w:w="1736"/>
      </w:tblGrid>
      <w:tr w:rsidR="00E57E69" w14:paraId="287CB845" w14:textId="77777777" w:rsidTr="00AE4033">
        <w:trPr>
          <w:cantSplit/>
          <w:tblHeader/>
        </w:trPr>
        <w:tc>
          <w:tcPr>
            <w:tcW w:w="1851" w:type="dxa"/>
          </w:tcPr>
          <w:p w14:paraId="4178AE33" w14:textId="77777777" w:rsidR="00E57E69" w:rsidRPr="005F1996" w:rsidRDefault="00E57E69" w:rsidP="00952A4A">
            <w:pPr>
              <w:rPr>
                <w:b/>
              </w:rPr>
            </w:pPr>
            <w:r w:rsidRPr="005F1996">
              <w:rPr>
                <w:b/>
              </w:rPr>
              <w:t>Provision</w:t>
            </w:r>
          </w:p>
        </w:tc>
        <w:tc>
          <w:tcPr>
            <w:tcW w:w="4349" w:type="dxa"/>
          </w:tcPr>
          <w:p w14:paraId="4DBFAC6C" w14:textId="77777777" w:rsidR="00E57E69" w:rsidRPr="005F1996" w:rsidRDefault="00E57E69" w:rsidP="00952A4A">
            <w:pPr>
              <w:rPr>
                <w:b/>
              </w:rPr>
            </w:pPr>
            <w:r w:rsidRPr="005F1996">
              <w:rPr>
                <w:b/>
              </w:rPr>
              <w:t>Amendment</w:t>
            </w:r>
          </w:p>
        </w:tc>
        <w:tc>
          <w:tcPr>
            <w:tcW w:w="1736" w:type="dxa"/>
          </w:tcPr>
          <w:p w14:paraId="4D469987" w14:textId="77777777" w:rsidR="00E57E69" w:rsidRPr="005F1996" w:rsidRDefault="00E57E69" w:rsidP="00952A4A">
            <w:pPr>
              <w:rPr>
                <w:b/>
              </w:rPr>
            </w:pPr>
            <w:r w:rsidRPr="005F1996">
              <w:rPr>
                <w:b/>
              </w:rPr>
              <w:t>Commencing</w:t>
            </w:r>
          </w:p>
        </w:tc>
      </w:tr>
      <w:tr w:rsidR="00E57E69" w14:paraId="2C56750E" w14:textId="77777777" w:rsidTr="00AE4033">
        <w:trPr>
          <w:cantSplit/>
        </w:trPr>
        <w:tc>
          <w:tcPr>
            <w:tcW w:w="1851" w:type="dxa"/>
          </w:tcPr>
          <w:p w14:paraId="53B5FBF1" w14:textId="79D2439A" w:rsidR="00E57E69" w:rsidRPr="005F1996" w:rsidRDefault="00A0454E" w:rsidP="00952A4A">
            <w:pPr>
              <w:pStyle w:val="Text"/>
            </w:pPr>
            <w:r>
              <w:t>6</w:t>
            </w:r>
          </w:p>
        </w:tc>
        <w:tc>
          <w:tcPr>
            <w:tcW w:w="4349" w:type="dxa"/>
          </w:tcPr>
          <w:p w14:paraId="078F3455" w14:textId="5A84D4B4" w:rsidR="00E57E69" w:rsidRPr="005F1996" w:rsidRDefault="00B77668" w:rsidP="00952A4A">
            <w:pPr>
              <w:pStyle w:val="Text"/>
            </w:pPr>
            <w:r>
              <w:t>Updating</w:t>
            </w:r>
            <w:r w:rsidR="00A0454E">
              <w:t xml:space="preserve"> reference to University of Sydney (Delegations of Authority – Administrative Functions) Rule 2016</w:t>
            </w:r>
          </w:p>
        </w:tc>
        <w:tc>
          <w:tcPr>
            <w:tcW w:w="1736" w:type="dxa"/>
          </w:tcPr>
          <w:p w14:paraId="1BD743F3" w14:textId="34E0EADD" w:rsidR="00E57E69" w:rsidRPr="005F1996" w:rsidRDefault="00B77668" w:rsidP="00952A4A">
            <w:pPr>
              <w:pStyle w:val="Text"/>
            </w:pPr>
            <w:r>
              <w:t>7 June 2017</w:t>
            </w:r>
          </w:p>
        </w:tc>
      </w:tr>
      <w:tr w:rsidR="00E57E69" w14:paraId="4706A4BD" w14:textId="77777777" w:rsidTr="00AE4033">
        <w:trPr>
          <w:cantSplit/>
        </w:trPr>
        <w:tc>
          <w:tcPr>
            <w:tcW w:w="1851" w:type="dxa"/>
          </w:tcPr>
          <w:p w14:paraId="0BD56145" w14:textId="07F80C68" w:rsidR="00E57E69" w:rsidRPr="005F1996" w:rsidRDefault="00E2181F" w:rsidP="00952A4A">
            <w:pPr>
              <w:pStyle w:val="Text"/>
            </w:pPr>
            <w:r>
              <w:t>Definitions</w:t>
            </w:r>
          </w:p>
        </w:tc>
        <w:tc>
          <w:tcPr>
            <w:tcW w:w="4349" w:type="dxa"/>
          </w:tcPr>
          <w:p w14:paraId="14015CFA" w14:textId="52009D77" w:rsidR="00E57E69" w:rsidRPr="005F1996" w:rsidRDefault="00E2181F" w:rsidP="00952A4A">
            <w:pPr>
              <w:pStyle w:val="Text"/>
            </w:pPr>
            <w:r>
              <w:t>Replace Department of Immigration and Border Protection with Department of Home Affairs</w:t>
            </w:r>
          </w:p>
        </w:tc>
        <w:tc>
          <w:tcPr>
            <w:tcW w:w="1736" w:type="dxa"/>
          </w:tcPr>
          <w:p w14:paraId="13588C2F" w14:textId="40255C4F" w:rsidR="00E57E69" w:rsidRPr="005F1996" w:rsidRDefault="005D55DD" w:rsidP="00952A4A">
            <w:pPr>
              <w:pStyle w:val="Text"/>
            </w:pPr>
            <w:r>
              <w:t>4 May 2018</w:t>
            </w:r>
          </w:p>
        </w:tc>
      </w:tr>
      <w:tr w:rsidR="0032620B" w14:paraId="3EB45940" w14:textId="77777777" w:rsidTr="00AE4033">
        <w:trPr>
          <w:cantSplit/>
        </w:trPr>
        <w:tc>
          <w:tcPr>
            <w:tcW w:w="1851" w:type="dxa"/>
          </w:tcPr>
          <w:p w14:paraId="28D6B28E" w14:textId="67CA17AB" w:rsidR="0032620B" w:rsidRDefault="0032620B" w:rsidP="00952A4A">
            <w:pPr>
              <w:pStyle w:val="Text"/>
            </w:pPr>
            <w:r>
              <w:t>8(1); 11(1)</w:t>
            </w:r>
          </w:p>
        </w:tc>
        <w:tc>
          <w:tcPr>
            <w:tcW w:w="4349" w:type="dxa"/>
          </w:tcPr>
          <w:p w14:paraId="4F8CC2A8" w14:textId="76B24DE3" w:rsidR="0032620B" w:rsidRDefault="0032620B" w:rsidP="00952A4A">
            <w:pPr>
              <w:pStyle w:val="Text"/>
            </w:pPr>
            <w:r>
              <w:t>Remove references to Deputy Vice-Chancellor (Registrar)</w:t>
            </w:r>
            <w:r w:rsidR="00DC1354">
              <w:t xml:space="preserve"> and replace with references to Deputy Vice-Chancellor (Education)</w:t>
            </w:r>
            <w:r>
              <w:t xml:space="preserve"> </w:t>
            </w:r>
          </w:p>
        </w:tc>
        <w:tc>
          <w:tcPr>
            <w:tcW w:w="1736" w:type="dxa"/>
          </w:tcPr>
          <w:p w14:paraId="66149566" w14:textId="1ED0438F" w:rsidR="0032620B" w:rsidRDefault="00FF287F" w:rsidP="00952A4A">
            <w:pPr>
              <w:pStyle w:val="Text"/>
            </w:pPr>
            <w:r>
              <w:t>2</w:t>
            </w:r>
            <w:r w:rsidR="00772571">
              <w:t xml:space="preserve">4 </w:t>
            </w:r>
            <w:r>
              <w:t>March 2019</w:t>
            </w:r>
          </w:p>
        </w:tc>
      </w:tr>
      <w:tr w:rsidR="00DC1354" w14:paraId="635CD7ED" w14:textId="77777777" w:rsidTr="00AE4033">
        <w:trPr>
          <w:cantSplit/>
        </w:trPr>
        <w:tc>
          <w:tcPr>
            <w:tcW w:w="1851" w:type="dxa"/>
          </w:tcPr>
          <w:p w14:paraId="6786830E" w14:textId="1FC05E76" w:rsidR="00DC1354" w:rsidRDefault="00DC1354" w:rsidP="00952A4A">
            <w:pPr>
              <w:pStyle w:val="Text"/>
            </w:pPr>
            <w:r>
              <w:t>Notes</w:t>
            </w:r>
          </w:p>
        </w:tc>
        <w:tc>
          <w:tcPr>
            <w:tcW w:w="4349" w:type="dxa"/>
          </w:tcPr>
          <w:p w14:paraId="2E5E8D60" w14:textId="2B0EEAB4" w:rsidR="00DC1354" w:rsidRDefault="00DC1354" w:rsidP="00952A4A">
            <w:pPr>
              <w:pStyle w:val="Text"/>
            </w:pPr>
            <w:r>
              <w:t>Remove Deputy Vice-Chancellor (Registrar) as administrator and replace with Deputy Vice-Chancellor Education</w:t>
            </w:r>
          </w:p>
        </w:tc>
        <w:tc>
          <w:tcPr>
            <w:tcW w:w="1736" w:type="dxa"/>
          </w:tcPr>
          <w:p w14:paraId="7C6254D1" w14:textId="745F63DD" w:rsidR="00DC1354" w:rsidRDefault="00FF287F" w:rsidP="00952A4A">
            <w:pPr>
              <w:pStyle w:val="Text"/>
            </w:pPr>
            <w:r>
              <w:t>2</w:t>
            </w:r>
            <w:r w:rsidR="00772571">
              <w:t xml:space="preserve">4 </w:t>
            </w:r>
            <w:r>
              <w:t>March 2019</w:t>
            </w:r>
          </w:p>
        </w:tc>
      </w:tr>
      <w:tr w:rsidR="00AE1299" w14:paraId="2F81208C" w14:textId="77777777" w:rsidTr="00AE4033">
        <w:trPr>
          <w:cantSplit/>
        </w:trPr>
        <w:tc>
          <w:tcPr>
            <w:tcW w:w="1851" w:type="dxa"/>
          </w:tcPr>
          <w:p w14:paraId="1F798AA9" w14:textId="79C12D2A" w:rsidR="00AE1299" w:rsidRDefault="00AE1299" w:rsidP="00952A4A">
            <w:pPr>
              <w:pStyle w:val="Text"/>
            </w:pPr>
            <w:r>
              <w:t xml:space="preserve">3 </w:t>
            </w:r>
          </w:p>
        </w:tc>
        <w:tc>
          <w:tcPr>
            <w:tcW w:w="4349" w:type="dxa"/>
          </w:tcPr>
          <w:p w14:paraId="14C92EA5" w14:textId="7E0890C0" w:rsidR="00AE1299" w:rsidRDefault="00AE1299" w:rsidP="00952A4A">
            <w:pPr>
              <w:pStyle w:val="Text"/>
            </w:pPr>
            <w:r>
              <w:t>‘entities operating under the University’s CRICOS Provider Code 00026A’ inserted</w:t>
            </w:r>
          </w:p>
        </w:tc>
        <w:tc>
          <w:tcPr>
            <w:tcW w:w="1736" w:type="dxa"/>
          </w:tcPr>
          <w:p w14:paraId="050F1ABB" w14:textId="4DF587C6" w:rsidR="00AE1299" w:rsidRDefault="00AE1299" w:rsidP="00952A4A">
            <w:pPr>
              <w:pStyle w:val="Text"/>
            </w:pPr>
            <w:r>
              <w:t>1</w:t>
            </w:r>
            <w:r w:rsidR="0078523D">
              <w:t xml:space="preserve"> </w:t>
            </w:r>
            <w:r>
              <w:t>August 2019</w:t>
            </w:r>
          </w:p>
        </w:tc>
      </w:tr>
      <w:tr w:rsidR="00AE1299" w14:paraId="0F2B0A22" w14:textId="77777777" w:rsidTr="00AE4033">
        <w:trPr>
          <w:cantSplit/>
        </w:trPr>
        <w:tc>
          <w:tcPr>
            <w:tcW w:w="1851" w:type="dxa"/>
          </w:tcPr>
          <w:p w14:paraId="670474C1" w14:textId="1B280BD3" w:rsidR="00AE1299" w:rsidRDefault="00AE1299" w:rsidP="00952A4A">
            <w:pPr>
              <w:pStyle w:val="Text"/>
            </w:pPr>
            <w:r>
              <w:t>4(b)</w:t>
            </w:r>
          </w:p>
        </w:tc>
        <w:tc>
          <w:tcPr>
            <w:tcW w:w="4349" w:type="dxa"/>
          </w:tcPr>
          <w:p w14:paraId="30FFF891" w14:textId="62C2FBF3" w:rsidR="00AE1299" w:rsidRDefault="00AE1299" w:rsidP="00952A4A">
            <w:pPr>
              <w:pStyle w:val="Text"/>
            </w:pPr>
            <w:r>
              <w:t>‘Part B, Standard 5 of the National Code of Practice for Providers of Education and Training to Overseas Students 2018’ inserted</w:t>
            </w:r>
          </w:p>
        </w:tc>
        <w:tc>
          <w:tcPr>
            <w:tcW w:w="1736" w:type="dxa"/>
          </w:tcPr>
          <w:p w14:paraId="66EF8E18" w14:textId="5F668D2C" w:rsidR="00AE1299" w:rsidRDefault="00AE1299" w:rsidP="00952A4A">
            <w:pPr>
              <w:pStyle w:val="Text"/>
            </w:pPr>
            <w:r>
              <w:t>1</w:t>
            </w:r>
            <w:r w:rsidR="007A6457">
              <w:t xml:space="preserve"> </w:t>
            </w:r>
            <w:r>
              <w:t>August 2019</w:t>
            </w:r>
          </w:p>
        </w:tc>
      </w:tr>
      <w:tr w:rsidR="00AE1299" w14:paraId="3C5A7E98" w14:textId="77777777" w:rsidTr="00AE4033">
        <w:trPr>
          <w:cantSplit/>
        </w:trPr>
        <w:tc>
          <w:tcPr>
            <w:tcW w:w="1851" w:type="dxa"/>
          </w:tcPr>
          <w:p w14:paraId="734037D9" w14:textId="53405C99" w:rsidR="00AE1299" w:rsidRDefault="00AE1299" w:rsidP="00952A4A">
            <w:pPr>
              <w:pStyle w:val="Text"/>
            </w:pPr>
            <w:r>
              <w:t xml:space="preserve">5(1)(a); 5(1)(b); 5(1)(c) </w:t>
            </w:r>
          </w:p>
        </w:tc>
        <w:tc>
          <w:tcPr>
            <w:tcW w:w="4349" w:type="dxa"/>
          </w:tcPr>
          <w:p w14:paraId="01AB64B1" w14:textId="0EC9F4EA" w:rsidR="00AE1299" w:rsidRDefault="00AE1299" w:rsidP="00952A4A">
            <w:pPr>
              <w:pStyle w:val="Text"/>
            </w:pPr>
            <w:r>
              <w:t>New subclauses inserted</w:t>
            </w:r>
          </w:p>
        </w:tc>
        <w:tc>
          <w:tcPr>
            <w:tcW w:w="1736" w:type="dxa"/>
          </w:tcPr>
          <w:p w14:paraId="27427A4C" w14:textId="7C42AD71" w:rsidR="00AE1299" w:rsidRDefault="00AE1299" w:rsidP="00952A4A">
            <w:pPr>
              <w:pStyle w:val="Text"/>
            </w:pPr>
            <w:r>
              <w:t>1 August 2019</w:t>
            </w:r>
          </w:p>
        </w:tc>
      </w:tr>
      <w:tr w:rsidR="00AE1299" w14:paraId="78DCDBFC" w14:textId="77777777" w:rsidTr="00AE4033">
        <w:trPr>
          <w:cantSplit/>
        </w:trPr>
        <w:tc>
          <w:tcPr>
            <w:tcW w:w="1851" w:type="dxa"/>
          </w:tcPr>
          <w:p w14:paraId="7A0F026A" w14:textId="13497D34" w:rsidR="00AE1299" w:rsidRDefault="00AE1299" w:rsidP="00952A4A">
            <w:pPr>
              <w:pStyle w:val="Text"/>
            </w:pPr>
            <w:r>
              <w:lastRenderedPageBreak/>
              <w:t>6</w:t>
            </w:r>
          </w:p>
        </w:tc>
        <w:tc>
          <w:tcPr>
            <w:tcW w:w="4349" w:type="dxa"/>
          </w:tcPr>
          <w:p w14:paraId="2CDC8675" w14:textId="3D6B4A0C" w:rsidR="00AE1299" w:rsidRDefault="00AE1299" w:rsidP="00952A4A">
            <w:pPr>
              <w:pStyle w:val="Text"/>
            </w:pPr>
            <w:r>
              <w:t>Definition of approval period updated. subclause 9(1) to 8(3)</w:t>
            </w:r>
          </w:p>
        </w:tc>
        <w:tc>
          <w:tcPr>
            <w:tcW w:w="1736" w:type="dxa"/>
          </w:tcPr>
          <w:p w14:paraId="231F0A5A" w14:textId="2504CDCD" w:rsidR="00AE1299" w:rsidRDefault="00AE1299" w:rsidP="00952A4A">
            <w:pPr>
              <w:pStyle w:val="Text"/>
            </w:pPr>
            <w:r>
              <w:t>1 August 2019</w:t>
            </w:r>
          </w:p>
        </w:tc>
      </w:tr>
      <w:tr w:rsidR="00AE1299" w14:paraId="775EF385" w14:textId="77777777" w:rsidTr="00AE4033">
        <w:trPr>
          <w:cantSplit/>
        </w:trPr>
        <w:tc>
          <w:tcPr>
            <w:tcW w:w="1851" w:type="dxa"/>
          </w:tcPr>
          <w:p w14:paraId="443706ED" w14:textId="303FE8E1" w:rsidR="00AE1299" w:rsidRDefault="00AE1299" w:rsidP="00952A4A">
            <w:pPr>
              <w:pStyle w:val="Text"/>
            </w:pPr>
            <w:r>
              <w:t>6</w:t>
            </w:r>
          </w:p>
        </w:tc>
        <w:tc>
          <w:tcPr>
            <w:tcW w:w="4349" w:type="dxa"/>
          </w:tcPr>
          <w:p w14:paraId="0E119E4C" w14:textId="40C46DCA" w:rsidR="00AE1299" w:rsidRDefault="00AE1299" w:rsidP="00952A4A">
            <w:pPr>
              <w:pStyle w:val="Text"/>
            </w:pPr>
            <w:r>
              <w:t>Definition of legal custodian removed</w:t>
            </w:r>
          </w:p>
        </w:tc>
        <w:tc>
          <w:tcPr>
            <w:tcW w:w="1736" w:type="dxa"/>
          </w:tcPr>
          <w:p w14:paraId="54F2882C" w14:textId="4457EDCA" w:rsidR="00AE1299" w:rsidRDefault="00AE1299" w:rsidP="00952A4A">
            <w:pPr>
              <w:pStyle w:val="Text"/>
            </w:pPr>
            <w:r>
              <w:t>1 August 2019</w:t>
            </w:r>
          </w:p>
        </w:tc>
      </w:tr>
      <w:tr w:rsidR="005420CA" w14:paraId="3D37664A" w14:textId="77777777" w:rsidTr="00AE4033">
        <w:trPr>
          <w:cantSplit/>
        </w:trPr>
        <w:tc>
          <w:tcPr>
            <w:tcW w:w="1851" w:type="dxa"/>
          </w:tcPr>
          <w:p w14:paraId="1D8D19C9" w14:textId="29A618F3" w:rsidR="005420CA" w:rsidRDefault="005420CA" w:rsidP="005420CA">
            <w:pPr>
              <w:pStyle w:val="Text"/>
            </w:pPr>
            <w:r>
              <w:t>6</w:t>
            </w:r>
          </w:p>
        </w:tc>
        <w:tc>
          <w:tcPr>
            <w:tcW w:w="4349" w:type="dxa"/>
          </w:tcPr>
          <w:p w14:paraId="4923005F" w14:textId="4CEEAD31" w:rsidR="005420CA" w:rsidRDefault="005420CA" w:rsidP="005420CA">
            <w:pPr>
              <w:pStyle w:val="Text"/>
            </w:pPr>
            <w:r>
              <w:t>Definition of third party provider removed</w:t>
            </w:r>
          </w:p>
        </w:tc>
        <w:tc>
          <w:tcPr>
            <w:tcW w:w="1736" w:type="dxa"/>
          </w:tcPr>
          <w:p w14:paraId="5ED219DF" w14:textId="7C4A40AF" w:rsidR="005420CA" w:rsidRDefault="005420CA" w:rsidP="005420CA">
            <w:pPr>
              <w:pStyle w:val="Text"/>
            </w:pPr>
            <w:r>
              <w:t>1 August 2019</w:t>
            </w:r>
          </w:p>
        </w:tc>
      </w:tr>
      <w:tr w:rsidR="005420CA" w14:paraId="05E55D82" w14:textId="77777777" w:rsidTr="00AE4033">
        <w:trPr>
          <w:cantSplit/>
        </w:trPr>
        <w:tc>
          <w:tcPr>
            <w:tcW w:w="1851" w:type="dxa"/>
          </w:tcPr>
          <w:p w14:paraId="434FBE1E" w14:textId="7B7707AD" w:rsidR="005420CA" w:rsidRDefault="005420CA" w:rsidP="005420CA">
            <w:pPr>
              <w:pStyle w:val="Text"/>
            </w:pPr>
            <w:r>
              <w:t>6</w:t>
            </w:r>
          </w:p>
        </w:tc>
        <w:tc>
          <w:tcPr>
            <w:tcW w:w="4349" w:type="dxa"/>
          </w:tcPr>
          <w:p w14:paraId="653D5F43" w14:textId="2C679E2D" w:rsidR="005420CA" w:rsidRDefault="005420CA" w:rsidP="005420CA">
            <w:pPr>
              <w:pStyle w:val="Text"/>
            </w:pPr>
            <w:r>
              <w:t>Definition of Taylors College inserted.</w:t>
            </w:r>
          </w:p>
        </w:tc>
        <w:tc>
          <w:tcPr>
            <w:tcW w:w="1736" w:type="dxa"/>
          </w:tcPr>
          <w:p w14:paraId="7E7C696C" w14:textId="47A085C4" w:rsidR="005420CA" w:rsidRDefault="005420CA" w:rsidP="005420CA">
            <w:pPr>
              <w:pStyle w:val="Text"/>
            </w:pPr>
            <w:r>
              <w:t>1 August 2019</w:t>
            </w:r>
          </w:p>
        </w:tc>
      </w:tr>
      <w:tr w:rsidR="005420CA" w14:paraId="5A036CED" w14:textId="77777777" w:rsidTr="00AE4033">
        <w:trPr>
          <w:cantSplit/>
        </w:trPr>
        <w:tc>
          <w:tcPr>
            <w:tcW w:w="1851" w:type="dxa"/>
          </w:tcPr>
          <w:p w14:paraId="3970DB21" w14:textId="40FBE6D8" w:rsidR="005420CA" w:rsidRDefault="005420CA" w:rsidP="005420CA">
            <w:pPr>
              <w:pStyle w:val="Text"/>
            </w:pPr>
            <w:r>
              <w:t>7(1)</w:t>
            </w:r>
          </w:p>
        </w:tc>
        <w:tc>
          <w:tcPr>
            <w:tcW w:w="4349" w:type="dxa"/>
          </w:tcPr>
          <w:p w14:paraId="39936611" w14:textId="4BCB55B3" w:rsidR="005420CA" w:rsidRDefault="005420CA" w:rsidP="005420CA">
            <w:pPr>
              <w:pStyle w:val="Text"/>
            </w:pPr>
            <w:r>
              <w:t>‘and its third-party providers inserted</w:t>
            </w:r>
          </w:p>
        </w:tc>
        <w:tc>
          <w:tcPr>
            <w:tcW w:w="1736" w:type="dxa"/>
          </w:tcPr>
          <w:p w14:paraId="66BF7549" w14:textId="74388458" w:rsidR="005420CA" w:rsidRDefault="005420CA" w:rsidP="005420CA">
            <w:pPr>
              <w:pStyle w:val="Text"/>
            </w:pPr>
            <w:r>
              <w:t>1 August 2019</w:t>
            </w:r>
          </w:p>
        </w:tc>
      </w:tr>
      <w:tr w:rsidR="005420CA" w14:paraId="79D8D904" w14:textId="77777777" w:rsidTr="00AE4033">
        <w:trPr>
          <w:cantSplit/>
        </w:trPr>
        <w:tc>
          <w:tcPr>
            <w:tcW w:w="1851" w:type="dxa"/>
          </w:tcPr>
          <w:p w14:paraId="62DBD0A1" w14:textId="4B536479" w:rsidR="005420CA" w:rsidRDefault="005420CA" w:rsidP="005420CA">
            <w:pPr>
              <w:pStyle w:val="Text"/>
            </w:pPr>
            <w:r>
              <w:t>7(1)(a); 7(1)(b)</w:t>
            </w:r>
          </w:p>
        </w:tc>
        <w:tc>
          <w:tcPr>
            <w:tcW w:w="4349" w:type="dxa"/>
          </w:tcPr>
          <w:p w14:paraId="25DF926C" w14:textId="45BA3007" w:rsidR="005420CA" w:rsidRDefault="005420CA" w:rsidP="005420CA">
            <w:pPr>
              <w:pStyle w:val="Text"/>
            </w:pPr>
            <w:r>
              <w:t>Custodian replaced by guardian</w:t>
            </w:r>
          </w:p>
        </w:tc>
        <w:tc>
          <w:tcPr>
            <w:tcW w:w="1736" w:type="dxa"/>
          </w:tcPr>
          <w:p w14:paraId="0D00FC39" w14:textId="373A237F" w:rsidR="005420CA" w:rsidRDefault="005420CA" w:rsidP="005420CA">
            <w:pPr>
              <w:pStyle w:val="Text"/>
            </w:pPr>
            <w:r>
              <w:t>1 August 2019</w:t>
            </w:r>
          </w:p>
        </w:tc>
      </w:tr>
      <w:tr w:rsidR="005420CA" w14:paraId="2605D339" w14:textId="77777777" w:rsidTr="00AE4033">
        <w:trPr>
          <w:cantSplit/>
        </w:trPr>
        <w:tc>
          <w:tcPr>
            <w:tcW w:w="1851" w:type="dxa"/>
          </w:tcPr>
          <w:p w14:paraId="4DF9ED53" w14:textId="6A8214C7" w:rsidR="005420CA" w:rsidRDefault="005420CA" w:rsidP="005420CA">
            <w:pPr>
              <w:pStyle w:val="Text"/>
            </w:pPr>
            <w:r>
              <w:t>7(2)</w:t>
            </w:r>
          </w:p>
        </w:tc>
        <w:tc>
          <w:tcPr>
            <w:tcW w:w="4349" w:type="dxa"/>
          </w:tcPr>
          <w:p w14:paraId="081276ED" w14:textId="1FFE5CD4" w:rsidR="005420CA" w:rsidRDefault="005420CA" w:rsidP="005420CA">
            <w:pPr>
              <w:pStyle w:val="Text"/>
            </w:pPr>
            <w:r>
              <w:t>‘and it third-party providers’ inserted and ‘course’ removed</w:t>
            </w:r>
          </w:p>
        </w:tc>
        <w:tc>
          <w:tcPr>
            <w:tcW w:w="1736" w:type="dxa"/>
          </w:tcPr>
          <w:p w14:paraId="4769198B" w14:textId="4C709EF8" w:rsidR="005420CA" w:rsidRDefault="005420CA" w:rsidP="005420CA">
            <w:pPr>
              <w:pStyle w:val="Text"/>
            </w:pPr>
            <w:r>
              <w:t>1 August 2019</w:t>
            </w:r>
          </w:p>
        </w:tc>
      </w:tr>
      <w:tr w:rsidR="005420CA" w14:paraId="2DC4DB2F" w14:textId="77777777" w:rsidTr="00AE4033">
        <w:trPr>
          <w:cantSplit/>
          <w:trHeight w:val="520"/>
        </w:trPr>
        <w:tc>
          <w:tcPr>
            <w:tcW w:w="1851" w:type="dxa"/>
          </w:tcPr>
          <w:p w14:paraId="0870402E" w14:textId="62808AC4" w:rsidR="005420CA" w:rsidRDefault="005420CA" w:rsidP="005420CA">
            <w:pPr>
              <w:pStyle w:val="Text"/>
            </w:pPr>
            <w:r>
              <w:t>7(3)</w:t>
            </w:r>
          </w:p>
        </w:tc>
        <w:tc>
          <w:tcPr>
            <w:tcW w:w="4349" w:type="dxa"/>
          </w:tcPr>
          <w:p w14:paraId="555ACCCC" w14:textId="767EBCFE" w:rsidR="005420CA" w:rsidRDefault="005420CA" w:rsidP="005420CA">
            <w:pPr>
              <w:pStyle w:val="Text"/>
            </w:pPr>
            <w:r>
              <w:t>new subclause inserted</w:t>
            </w:r>
          </w:p>
        </w:tc>
        <w:tc>
          <w:tcPr>
            <w:tcW w:w="1736" w:type="dxa"/>
          </w:tcPr>
          <w:p w14:paraId="176F8EC5" w14:textId="178F7626" w:rsidR="005420CA" w:rsidRDefault="005420CA" w:rsidP="005420CA">
            <w:pPr>
              <w:pStyle w:val="Text"/>
            </w:pPr>
            <w:r>
              <w:t>1 August 2019</w:t>
            </w:r>
          </w:p>
        </w:tc>
      </w:tr>
      <w:tr w:rsidR="005420CA" w14:paraId="0FBF8916" w14:textId="77777777" w:rsidTr="00AE4033">
        <w:trPr>
          <w:cantSplit/>
        </w:trPr>
        <w:tc>
          <w:tcPr>
            <w:tcW w:w="1851" w:type="dxa"/>
          </w:tcPr>
          <w:p w14:paraId="7D80B675" w14:textId="77C83228" w:rsidR="005420CA" w:rsidRDefault="005420CA" w:rsidP="005420CA">
            <w:pPr>
              <w:pStyle w:val="Text"/>
            </w:pPr>
            <w:r>
              <w:t>8(3)(a)</w:t>
            </w:r>
          </w:p>
        </w:tc>
        <w:tc>
          <w:tcPr>
            <w:tcW w:w="4349" w:type="dxa"/>
          </w:tcPr>
          <w:p w14:paraId="4DE4B4F1" w14:textId="4061ECFA" w:rsidR="005420CA" w:rsidRDefault="005420CA" w:rsidP="005420CA">
            <w:pPr>
              <w:pStyle w:val="Text"/>
            </w:pPr>
            <w:r>
              <w:t>‘no more than 14 and no less than’ inserted</w:t>
            </w:r>
          </w:p>
        </w:tc>
        <w:tc>
          <w:tcPr>
            <w:tcW w:w="1736" w:type="dxa"/>
          </w:tcPr>
          <w:p w14:paraId="59FE66ED" w14:textId="75B4526A" w:rsidR="005420CA" w:rsidRDefault="007A6457" w:rsidP="005420CA">
            <w:pPr>
              <w:pStyle w:val="Text"/>
            </w:pPr>
            <w:r>
              <w:t>1</w:t>
            </w:r>
            <w:r w:rsidR="005420CA">
              <w:t xml:space="preserve"> August 2019</w:t>
            </w:r>
          </w:p>
        </w:tc>
      </w:tr>
      <w:tr w:rsidR="005420CA" w14:paraId="4CDB7D4A" w14:textId="77777777" w:rsidTr="00AE4033">
        <w:trPr>
          <w:cantSplit/>
        </w:trPr>
        <w:tc>
          <w:tcPr>
            <w:tcW w:w="1851" w:type="dxa"/>
          </w:tcPr>
          <w:p w14:paraId="7EF31EDB" w14:textId="6C837869" w:rsidR="005420CA" w:rsidRDefault="005420CA" w:rsidP="005420CA">
            <w:pPr>
              <w:pStyle w:val="Text"/>
            </w:pPr>
            <w:r>
              <w:t>9(1)</w:t>
            </w:r>
          </w:p>
        </w:tc>
        <w:tc>
          <w:tcPr>
            <w:tcW w:w="4349" w:type="dxa"/>
          </w:tcPr>
          <w:p w14:paraId="4FF3BC42" w14:textId="2A14A6D8" w:rsidR="005420CA" w:rsidRDefault="005420CA" w:rsidP="005420CA">
            <w:pPr>
              <w:pStyle w:val="Text"/>
            </w:pPr>
            <w:r>
              <w:t>Custodian replaced by guardian</w:t>
            </w:r>
          </w:p>
        </w:tc>
        <w:tc>
          <w:tcPr>
            <w:tcW w:w="1736" w:type="dxa"/>
          </w:tcPr>
          <w:p w14:paraId="5489FDD3" w14:textId="21CA98B5" w:rsidR="005420CA" w:rsidRDefault="005420CA" w:rsidP="005420CA">
            <w:pPr>
              <w:pStyle w:val="Text"/>
            </w:pPr>
            <w:r>
              <w:t>1 August 2019</w:t>
            </w:r>
          </w:p>
        </w:tc>
      </w:tr>
      <w:tr w:rsidR="005420CA" w14:paraId="345659BD" w14:textId="77777777" w:rsidTr="00AE4033">
        <w:trPr>
          <w:cantSplit/>
        </w:trPr>
        <w:tc>
          <w:tcPr>
            <w:tcW w:w="1851" w:type="dxa"/>
          </w:tcPr>
          <w:p w14:paraId="2BB41102" w14:textId="4695CF93" w:rsidR="005420CA" w:rsidRDefault="005420CA" w:rsidP="005420CA">
            <w:pPr>
              <w:pStyle w:val="Text"/>
            </w:pPr>
            <w:r>
              <w:t>9(2)(a)(i)</w:t>
            </w:r>
          </w:p>
        </w:tc>
        <w:tc>
          <w:tcPr>
            <w:tcW w:w="4349" w:type="dxa"/>
          </w:tcPr>
          <w:p w14:paraId="35FD3359" w14:textId="13E5E236" w:rsidR="005420CA" w:rsidRDefault="005420CA" w:rsidP="005420CA">
            <w:pPr>
              <w:pStyle w:val="Text"/>
            </w:pPr>
            <w:r>
              <w:t>Custodian replaced by guardian</w:t>
            </w:r>
          </w:p>
        </w:tc>
        <w:tc>
          <w:tcPr>
            <w:tcW w:w="1736" w:type="dxa"/>
          </w:tcPr>
          <w:p w14:paraId="4DA7AAF5" w14:textId="74511651" w:rsidR="005420CA" w:rsidRDefault="005420CA" w:rsidP="005420CA">
            <w:pPr>
              <w:pStyle w:val="Text"/>
            </w:pPr>
            <w:r>
              <w:t>1 August 2019</w:t>
            </w:r>
          </w:p>
        </w:tc>
      </w:tr>
      <w:tr w:rsidR="005420CA" w14:paraId="07F8FED9" w14:textId="77777777" w:rsidTr="00AE4033">
        <w:trPr>
          <w:cantSplit/>
        </w:trPr>
        <w:tc>
          <w:tcPr>
            <w:tcW w:w="1851" w:type="dxa"/>
          </w:tcPr>
          <w:p w14:paraId="6FF4F989" w14:textId="5CF789CF" w:rsidR="005420CA" w:rsidRDefault="005420CA" w:rsidP="005420CA">
            <w:pPr>
              <w:pStyle w:val="Text"/>
            </w:pPr>
            <w:r>
              <w:t>9(2)(a)(ii)</w:t>
            </w:r>
          </w:p>
        </w:tc>
        <w:tc>
          <w:tcPr>
            <w:tcW w:w="4349" w:type="dxa"/>
          </w:tcPr>
          <w:p w14:paraId="2415ECB7" w14:textId="64D33AF0" w:rsidR="005420CA" w:rsidRDefault="005420CA" w:rsidP="005420CA">
            <w:pPr>
              <w:pStyle w:val="Text"/>
            </w:pPr>
            <w:r>
              <w:t>New subclause inserted</w:t>
            </w:r>
          </w:p>
        </w:tc>
        <w:tc>
          <w:tcPr>
            <w:tcW w:w="1736" w:type="dxa"/>
          </w:tcPr>
          <w:p w14:paraId="7826EA57" w14:textId="65D214F7" w:rsidR="005420CA" w:rsidRDefault="005420CA" w:rsidP="005420CA">
            <w:pPr>
              <w:pStyle w:val="Text"/>
            </w:pPr>
            <w:r>
              <w:t>1 August 2019</w:t>
            </w:r>
          </w:p>
        </w:tc>
      </w:tr>
      <w:tr w:rsidR="005420CA" w14:paraId="5B438513" w14:textId="77777777" w:rsidTr="00AE4033">
        <w:trPr>
          <w:cantSplit/>
        </w:trPr>
        <w:tc>
          <w:tcPr>
            <w:tcW w:w="1851" w:type="dxa"/>
          </w:tcPr>
          <w:p w14:paraId="41CC4843" w14:textId="44574CD1" w:rsidR="005420CA" w:rsidRDefault="005420CA" w:rsidP="005420CA">
            <w:pPr>
              <w:pStyle w:val="Text"/>
            </w:pPr>
            <w:r>
              <w:t>10(1)</w:t>
            </w:r>
          </w:p>
        </w:tc>
        <w:tc>
          <w:tcPr>
            <w:tcW w:w="4349" w:type="dxa"/>
          </w:tcPr>
          <w:p w14:paraId="54FCFD0B" w14:textId="3BE5E65E" w:rsidR="005420CA" w:rsidRDefault="005420CA" w:rsidP="005420CA">
            <w:pPr>
              <w:pStyle w:val="Text"/>
            </w:pPr>
            <w:r>
              <w:t>‘or its third-party provider’ inserted</w:t>
            </w:r>
          </w:p>
        </w:tc>
        <w:tc>
          <w:tcPr>
            <w:tcW w:w="1736" w:type="dxa"/>
          </w:tcPr>
          <w:p w14:paraId="08846C83" w14:textId="477B252A" w:rsidR="005420CA" w:rsidRDefault="005420CA" w:rsidP="005420CA">
            <w:pPr>
              <w:pStyle w:val="Text"/>
            </w:pPr>
            <w:r>
              <w:t>1 August 2019</w:t>
            </w:r>
          </w:p>
        </w:tc>
      </w:tr>
      <w:tr w:rsidR="005420CA" w14:paraId="399436B5" w14:textId="77777777" w:rsidTr="00AE4033">
        <w:trPr>
          <w:cantSplit/>
        </w:trPr>
        <w:tc>
          <w:tcPr>
            <w:tcW w:w="1851" w:type="dxa"/>
          </w:tcPr>
          <w:p w14:paraId="59C26B21" w14:textId="77777777" w:rsidR="005420CA" w:rsidRDefault="005420CA" w:rsidP="005420CA">
            <w:pPr>
              <w:pStyle w:val="Text"/>
            </w:pPr>
            <w:r>
              <w:t>10(1)(c);</w:t>
            </w:r>
          </w:p>
          <w:p w14:paraId="6C283BA9" w14:textId="77777777" w:rsidR="005420CA" w:rsidRDefault="005420CA" w:rsidP="005420CA">
            <w:pPr>
              <w:pStyle w:val="Text"/>
            </w:pPr>
            <w:r>
              <w:t xml:space="preserve">10(1)(e)(i); </w:t>
            </w:r>
          </w:p>
          <w:p w14:paraId="1E252412" w14:textId="1E421B6C" w:rsidR="005420CA" w:rsidRDefault="005420CA" w:rsidP="005420CA">
            <w:pPr>
              <w:pStyle w:val="Text"/>
            </w:pPr>
            <w:r>
              <w:t>10(1)(e)(ii)</w:t>
            </w:r>
          </w:p>
        </w:tc>
        <w:tc>
          <w:tcPr>
            <w:tcW w:w="4349" w:type="dxa"/>
          </w:tcPr>
          <w:p w14:paraId="11E58482" w14:textId="051A60DA" w:rsidR="005420CA" w:rsidRDefault="005420CA" w:rsidP="005420CA">
            <w:pPr>
              <w:pStyle w:val="Text"/>
            </w:pPr>
            <w:r>
              <w:t>new subclauses inserted</w:t>
            </w:r>
          </w:p>
        </w:tc>
        <w:tc>
          <w:tcPr>
            <w:tcW w:w="1736" w:type="dxa"/>
          </w:tcPr>
          <w:p w14:paraId="2D192B05" w14:textId="5A4DA981" w:rsidR="005420CA" w:rsidRDefault="005420CA" w:rsidP="005420CA">
            <w:pPr>
              <w:pStyle w:val="Text"/>
            </w:pPr>
            <w:r>
              <w:t>1 August 2019</w:t>
            </w:r>
          </w:p>
        </w:tc>
      </w:tr>
      <w:tr w:rsidR="005420CA" w14:paraId="74B36F61" w14:textId="77777777" w:rsidTr="00AE4033">
        <w:trPr>
          <w:cantSplit/>
        </w:trPr>
        <w:tc>
          <w:tcPr>
            <w:tcW w:w="1851" w:type="dxa"/>
          </w:tcPr>
          <w:p w14:paraId="610BBFE8" w14:textId="0B026CDD" w:rsidR="005420CA" w:rsidRDefault="005420CA" w:rsidP="005420CA">
            <w:pPr>
              <w:pStyle w:val="Text"/>
            </w:pPr>
            <w:r>
              <w:t>11</w:t>
            </w:r>
          </w:p>
        </w:tc>
        <w:tc>
          <w:tcPr>
            <w:tcW w:w="4349" w:type="dxa"/>
          </w:tcPr>
          <w:p w14:paraId="1ACE1B0C" w14:textId="3F8CCB19" w:rsidR="005420CA" w:rsidRDefault="005420CA" w:rsidP="005420CA">
            <w:pPr>
              <w:pStyle w:val="Text"/>
            </w:pPr>
            <w:r>
              <w:t>New clause inserted</w:t>
            </w:r>
          </w:p>
        </w:tc>
        <w:tc>
          <w:tcPr>
            <w:tcW w:w="1736" w:type="dxa"/>
          </w:tcPr>
          <w:p w14:paraId="6FF0672F" w14:textId="706C8D41" w:rsidR="005420CA" w:rsidRDefault="005420CA" w:rsidP="005420CA">
            <w:pPr>
              <w:pStyle w:val="Text"/>
            </w:pPr>
            <w:r>
              <w:t>1 August 2019</w:t>
            </w:r>
          </w:p>
        </w:tc>
      </w:tr>
      <w:tr w:rsidR="005420CA" w14:paraId="6E6D025A" w14:textId="77777777" w:rsidTr="00AE4033">
        <w:trPr>
          <w:cantSplit/>
        </w:trPr>
        <w:tc>
          <w:tcPr>
            <w:tcW w:w="1851" w:type="dxa"/>
          </w:tcPr>
          <w:p w14:paraId="676FB175" w14:textId="352E9384" w:rsidR="005420CA" w:rsidRDefault="005420CA" w:rsidP="005420CA">
            <w:pPr>
              <w:pStyle w:val="Text"/>
            </w:pPr>
            <w:r>
              <w:t>12</w:t>
            </w:r>
          </w:p>
        </w:tc>
        <w:tc>
          <w:tcPr>
            <w:tcW w:w="4349" w:type="dxa"/>
          </w:tcPr>
          <w:p w14:paraId="42F7C453" w14:textId="43078D92" w:rsidR="005420CA" w:rsidRDefault="005420CA" w:rsidP="005420CA">
            <w:pPr>
              <w:pStyle w:val="Text"/>
            </w:pPr>
            <w:r>
              <w:t>New clause inserted</w:t>
            </w:r>
          </w:p>
        </w:tc>
        <w:tc>
          <w:tcPr>
            <w:tcW w:w="1736" w:type="dxa"/>
          </w:tcPr>
          <w:p w14:paraId="3633706E" w14:textId="0F73FD30" w:rsidR="005420CA" w:rsidRDefault="005420CA" w:rsidP="005420CA">
            <w:pPr>
              <w:pStyle w:val="Text"/>
            </w:pPr>
            <w:r>
              <w:t>1 August 2019</w:t>
            </w:r>
          </w:p>
        </w:tc>
      </w:tr>
      <w:tr w:rsidR="005420CA" w14:paraId="5DD208F1" w14:textId="77777777" w:rsidTr="00AE4033">
        <w:trPr>
          <w:cantSplit/>
        </w:trPr>
        <w:tc>
          <w:tcPr>
            <w:tcW w:w="1851" w:type="dxa"/>
          </w:tcPr>
          <w:p w14:paraId="0E1E02B1" w14:textId="3E891F66" w:rsidR="005420CA" w:rsidRDefault="005420CA" w:rsidP="005420CA">
            <w:pPr>
              <w:pStyle w:val="Text"/>
            </w:pPr>
            <w:r>
              <w:t>13(1)</w:t>
            </w:r>
          </w:p>
        </w:tc>
        <w:tc>
          <w:tcPr>
            <w:tcW w:w="4349" w:type="dxa"/>
          </w:tcPr>
          <w:p w14:paraId="305A0875" w14:textId="487F6DA0" w:rsidR="005420CA" w:rsidRDefault="005420CA" w:rsidP="005420CA">
            <w:pPr>
              <w:pStyle w:val="Text"/>
            </w:pPr>
            <w:r>
              <w:t xml:space="preserve">‘Relevant administrative unit’ replaced by Compliance Unit.  </w:t>
            </w:r>
            <w:r w:rsidR="002470C0">
              <w:t>‘</w:t>
            </w:r>
            <w:r>
              <w:t>in the Deputy Vice-Chancellor (Education) portfolio</w:t>
            </w:r>
            <w:r w:rsidR="002470C0">
              <w:t>’</w:t>
            </w:r>
            <w:r>
              <w:t xml:space="preserve"> inserted</w:t>
            </w:r>
          </w:p>
        </w:tc>
        <w:tc>
          <w:tcPr>
            <w:tcW w:w="1736" w:type="dxa"/>
          </w:tcPr>
          <w:p w14:paraId="09034746" w14:textId="6FC4D69A" w:rsidR="005420CA" w:rsidRDefault="005420CA" w:rsidP="005420CA">
            <w:pPr>
              <w:pStyle w:val="Text"/>
            </w:pPr>
            <w:r>
              <w:t>1 August 2019</w:t>
            </w:r>
          </w:p>
        </w:tc>
      </w:tr>
      <w:tr w:rsidR="00415891" w14:paraId="6BF8AB82" w14:textId="77777777" w:rsidTr="00AE4033">
        <w:trPr>
          <w:cantSplit/>
        </w:trPr>
        <w:tc>
          <w:tcPr>
            <w:tcW w:w="1851" w:type="dxa"/>
          </w:tcPr>
          <w:p w14:paraId="558A643C" w14:textId="5569A1B8" w:rsidR="00415891" w:rsidRDefault="00415891" w:rsidP="005420CA">
            <w:pPr>
              <w:pStyle w:val="Text"/>
            </w:pPr>
            <w:r>
              <w:t>Notes</w:t>
            </w:r>
          </w:p>
        </w:tc>
        <w:tc>
          <w:tcPr>
            <w:tcW w:w="4349" w:type="dxa"/>
          </w:tcPr>
          <w:p w14:paraId="056B419E" w14:textId="6D18DAC7" w:rsidR="00415891" w:rsidRDefault="00415891" w:rsidP="00415891">
            <w:pPr>
              <w:pStyle w:val="Text"/>
            </w:pPr>
            <w:r>
              <w:t>Added related documents:</w:t>
            </w:r>
          </w:p>
          <w:p w14:paraId="506DE9C2" w14:textId="7D717A3C" w:rsidR="00415891" w:rsidRPr="002470C0" w:rsidRDefault="00AE4033" w:rsidP="008A1E3E">
            <w:pPr>
              <w:pStyle w:val="Text"/>
              <w:keepNext/>
              <w:keepLines/>
              <w:widowControl w:val="0"/>
              <w:spacing w:after="0"/>
              <w:rPr>
                <w:rStyle w:val="frag-name"/>
                <w:i/>
                <w:iCs/>
                <w:shd w:val="clear" w:color="auto" w:fill="FFFFFF"/>
              </w:rPr>
            </w:pPr>
            <w:hyperlink r:id="rId14" w:history="1">
              <w:r w:rsidR="00415891" w:rsidRPr="002470C0">
                <w:rPr>
                  <w:rStyle w:val="frag-name"/>
                  <w:i/>
                  <w:iCs/>
                  <w:shd w:val="clear" w:color="auto" w:fill="FFFFFF"/>
                </w:rPr>
                <w:t>Children’s Guardian Act 2019</w:t>
              </w:r>
            </w:hyperlink>
          </w:p>
          <w:p w14:paraId="35152D2A" w14:textId="1754DDEA" w:rsidR="000972A4" w:rsidRPr="002470C0" w:rsidRDefault="000972A4" w:rsidP="008A1E3E">
            <w:pPr>
              <w:pStyle w:val="Text"/>
              <w:keepNext/>
              <w:keepLines/>
              <w:widowControl w:val="0"/>
              <w:spacing w:after="0"/>
              <w:rPr>
                <w:rStyle w:val="frag-name"/>
                <w:i/>
                <w:iCs/>
                <w:shd w:val="clear" w:color="auto" w:fill="FFFFFF"/>
              </w:rPr>
            </w:pPr>
            <w:r w:rsidRPr="002470C0">
              <w:rPr>
                <w:rStyle w:val="frag-name"/>
                <w:i/>
                <w:iCs/>
                <w:shd w:val="clear" w:color="auto" w:fill="FFFFFF"/>
              </w:rPr>
              <w:t>Critical Incidents Involving Students Procedures 2018</w:t>
            </w:r>
          </w:p>
          <w:p w14:paraId="547EA42A" w14:textId="6D8DE2C7" w:rsidR="00415891" w:rsidRPr="002470C0" w:rsidRDefault="00415891" w:rsidP="008A1E3E">
            <w:pPr>
              <w:pStyle w:val="Text"/>
              <w:keepNext/>
              <w:keepLines/>
              <w:widowControl w:val="0"/>
              <w:spacing w:after="0"/>
              <w:rPr>
                <w:rStyle w:val="frag-name"/>
                <w:i/>
                <w:iCs/>
                <w:shd w:val="clear" w:color="auto" w:fill="FFFFFF"/>
              </w:rPr>
            </w:pPr>
            <w:r w:rsidRPr="002470C0">
              <w:rPr>
                <w:rStyle w:val="frag-name"/>
                <w:i/>
                <w:iCs/>
                <w:shd w:val="clear" w:color="auto" w:fill="FFFFFF"/>
              </w:rPr>
              <w:t>Working with Children Policy 2014</w:t>
            </w:r>
          </w:p>
          <w:p w14:paraId="7F1656EF" w14:textId="77777777" w:rsidR="00415891" w:rsidRPr="002470C0" w:rsidRDefault="00415891" w:rsidP="008A1E3E">
            <w:pPr>
              <w:pStyle w:val="Text"/>
              <w:keepNext/>
              <w:keepLines/>
              <w:widowControl w:val="0"/>
              <w:spacing w:after="0"/>
              <w:rPr>
                <w:rStyle w:val="frag-name"/>
                <w:i/>
                <w:iCs/>
                <w:shd w:val="clear" w:color="auto" w:fill="FFFFFF"/>
              </w:rPr>
            </w:pPr>
            <w:r w:rsidRPr="002470C0">
              <w:rPr>
                <w:rStyle w:val="frag-name"/>
                <w:i/>
                <w:iCs/>
                <w:shd w:val="clear" w:color="auto" w:fill="FFFFFF"/>
              </w:rPr>
              <w:t>Working with Children Procedures 2014</w:t>
            </w:r>
          </w:p>
          <w:p w14:paraId="39342B30" w14:textId="77777777" w:rsidR="00415891" w:rsidRDefault="00415891" w:rsidP="005420CA">
            <w:pPr>
              <w:pStyle w:val="Text"/>
            </w:pPr>
          </w:p>
        </w:tc>
        <w:tc>
          <w:tcPr>
            <w:tcW w:w="1736" w:type="dxa"/>
          </w:tcPr>
          <w:p w14:paraId="21699EAA" w14:textId="0A32A675" w:rsidR="00415891" w:rsidRDefault="00415891" w:rsidP="005420CA">
            <w:pPr>
              <w:pStyle w:val="Text"/>
            </w:pPr>
            <w:r>
              <w:t>14 April 2021</w:t>
            </w:r>
          </w:p>
        </w:tc>
      </w:tr>
      <w:tr w:rsidR="00380E7F" w14:paraId="25DEB2CB" w14:textId="77777777" w:rsidTr="00AE4033">
        <w:trPr>
          <w:cantSplit/>
        </w:trPr>
        <w:tc>
          <w:tcPr>
            <w:tcW w:w="1851" w:type="dxa"/>
          </w:tcPr>
          <w:p w14:paraId="556CDDBA" w14:textId="186EC2BC" w:rsidR="00380E7F" w:rsidRDefault="00380E7F" w:rsidP="005420CA">
            <w:pPr>
              <w:pStyle w:val="Text"/>
            </w:pPr>
            <w:r>
              <w:t>6</w:t>
            </w:r>
          </w:p>
        </w:tc>
        <w:tc>
          <w:tcPr>
            <w:tcW w:w="4349" w:type="dxa"/>
          </w:tcPr>
          <w:p w14:paraId="4C830D0C" w14:textId="3105B640" w:rsidR="00380E7F" w:rsidRDefault="00380E7F" w:rsidP="00415891">
            <w:pPr>
              <w:pStyle w:val="Text"/>
            </w:pPr>
            <w:r>
              <w:t>replace ‘University of Sydney (Delegations of Authority – Administrative Functions) Rule 2016 with ‘University of Sydney (Delegations of Authority) Rule 2020</w:t>
            </w:r>
          </w:p>
        </w:tc>
        <w:tc>
          <w:tcPr>
            <w:tcW w:w="1736" w:type="dxa"/>
          </w:tcPr>
          <w:p w14:paraId="5A987573" w14:textId="168E18B9" w:rsidR="00380E7F" w:rsidRDefault="002E56BA" w:rsidP="005420CA">
            <w:pPr>
              <w:pStyle w:val="Text"/>
            </w:pPr>
            <w:r>
              <w:t>16</w:t>
            </w:r>
            <w:r w:rsidR="00380E7F">
              <w:t xml:space="preserve"> May 2023</w:t>
            </w:r>
          </w:p>
        </w:tc>
      </w:tr>
      <w:tr w:rsidR="00380E7F" w14:paraId="74196C6F" w14:textId="77777777" w:rsidTr="00AE4033">
        <w:trPr>
          <w:cantSplit/>
        </w:trPr>
        <w:tc>
          <w:tcPr>
            <w:tcW w:w="1851" w:type="dxa"/>
          </w:tcPr>
          <w:p w14:paraId="0A0FB4E3" w14:textId="027707D8" w:rsidR="00380E7F" w:rsidRDefault="00380E7F" w:rsidP="005420CA">
            <w:pPr>
              <w:pStyle w:val="Text"/>
            </w:pPr>
            <w:r>
              <w:lastRenderedPageBreak/>
              <w:t>Related documents</w:t>
            </w:r>
          </w:p>
        </w:tc>
        <w:tc>
          <w:tcPr>
            <w:tcW w:w="4349" w:type="dxa"/>
          </w:tcPr>
          <w:p w14:paraId="179B1799" w14:textId="470E3C4A" w:rsidR="00380E7F" w:rsidRDefault="00380E7F" w:rsidP="00415891">
            <w:pPr>
              <w:pStyle w:val="Text"/>
            </w:pPr>
            <w:r>
              <w:t>replacing ‘Working with Children Policy 2014’ with ‘Working with Children and Vulnerable Adults Policy 2021’</w:t>
            </w:r>
          </w:p>
        </w:tc>
        <w:tc>
          <w:tcPr>
            <w:tcW w:w="1736" w:type="dxa"/>
          </w:tcPr>
          <w:p w14:paraId="33E505B9" w14:textId="246A2284" w:rsidR="00380E7F" w:rsidRDefault="002E56BA" w:rsidP="005420CA">
            <w:pPr>
              <w:pStyle w:val="Text"/>
            </w:pPr>
            <w:r>
              <w:t>16</w:t>
            </w:r>
            <w:r w:rsidR="00380E7F">
              <w:t xml:space="preserve"> May 2023</w:t>
            </w:r>
          </w:p>
        </w:tc>
      </w:tr>
      <w:tr w:rsidR="00380E7F" w14:paraId="3E95540D" w14:textId="77777777" w:rsidTr="00AE4033">
        <w:trPr>
          <w:cantSplit/>
        </w:trPr>
        <w:tc>
          <w:tcPr>
            <w:tcW w:w="1851" w:type="dxa"/>
          </w:tcPr>
          <w:p w14:paraId="0F7D3162" w14:textId="2D5E005E" w:rsidR="00380E7F" w:rsidRDefault="00380E7F" w:rsidP="005420CA">
            <w:pPr>
              <w:pStyle w:val="Text"/>
            </w:pPr>
            <w:r>
              <w:t>Related documents</w:t>
            </w:r>
          </w:p>
        </w:tc>
        <w:tc>
          <w:tcPr>
            <w:tcW w:w="4349" w:type="dxa"/>
          </w:tcPr>
          <w:p w14:paraId="50DC35EC" w14:textId="222E5222" w:rsidR="00380E7F" w:rsidRDefault="00380E7F" w:rsidP="00415891">
            <w:pPr>
              <w:pStyle w:val="Text"/>
            </w:pPr>
            <w:r>
              <w:t>replacing ‘Working with Children Procedures 2014’ with ‘Working with Children Procedures  - Staff and Affiliates 2021’ and ‘Working with Children Procedures – Students 2021’</w:t>
            </w:r>
          </w:p>
        </w:tc>
        <w:tc>
          <w:tcPr>
            <w:tcW w:w="1736" w:type="dxa"/>
          </w:tcPr>
          <w:p w14:paraId="2B0D76DA" w14:textId="35B8F9CC" w:rsidR="00380E7F" w:rsidRDefault="002E56BA" w:rsidP="005420CA">
            <w:pPr>
              <w:pStyle w:val="Text"/>
            </w:pPr>
            <w:r>
              <w:t>16</w:t>
            </w:r>
            <w:r w:rsidR="00380E7F">
              <w:t xml:space="preserve"> May 2023</w:t>
            </w:r>
          </w:p>
        </w:tc>
      </w:tr>
      <w:tr w:rsidR="00855C7B" w14:paraId="40D52BD4" w14:textId="77777777" w:rsidTr="00AE4033">
        <w:trPr>
          <w:cantSplit/>
        </w:trPr>
        <w:tc>
          <w:tcPr>
            <w:tcW w:w="1851" w:type="dxa"/>
          </w:tcPr>
          <w:p w14:paraId="6ECBD563" w14:textId="60B5F187" w:rsidR="00855C7B" w:rsidRDefault="00855C7B" w:rsidP="005420CA">
            <w:pPr>
              <w:pStyle w:val="Text"/>
            </w:pPr>
            <w:r>
              <w:t>Related documents</w:t>
            </w:r>
          </w:p>
        </w:tc>
        <w:tc>
          <w:tcPr>
            <w:tcW w:w="4349" w:type="dxa"/>
          </w:tcPr>
          <w:p w14:paraId="1CC6232A" w14:textId="26B544EE" w:rsidR="00855C7B" w:rsidRDefault="00855C7B" w:rsidP="00415891">
            <w:pPr>
              <w:pStyle w:val="Text"/>
            </w:pPr>
            <w:r>
              <w:t>replacing ‘Critical Incidents involving Students Procedures 2018’ with ‘Student Critical Incidents Procedures 2022’</w:t>
            </w:r>
          </w:p>
        </w:tc>
        <w:tc>
          <w:tcPr>
            <w:tcW w:w="1736" w:type="dxa"/>
          </w:tcPr>
          <w:p w14:paraId="783FC0D2" w14:textId="27541D54" w:rsidR="00855C7B" w:rsidRDefault="00855C7B" w:rsidP="005420CA">
            <w:pPr>
              <w:pStyle w:val="Text"/>
            </w:pPr>
            <w:r>
              <w:t>19 July 2023</w:t>
            </w:r>
          </w:p>
        </w:tc>
      </w:tr>
      <w:tr w:rsidR="00994077" w14:paraId="01E1B4A2" w14:textId="77777777" w:rsidTr="00AE4033">
        <w:trPr>
          <w:cantSplit/>
        </w:trPr>
        <w:tc>
          <w:tcPr>
            <w:tcW w:w="1851" w:type="dxa"/>
          </w:tcPr>
          <w:p w14:paraId="1F75CAF0" w14:textId="122EF95A" w:rsidR="00994077" w:rsidRDefault="00994077" w:rsidP="005420CA">
            <w:pPr>
              <w:pStyle w:val="Text"/>
            </w:pPr>
            <w:r>
              <w:t>Throughout</w:t>
            </w:r>
          </w:p>
        </w:tc>
        <w:tc>
          <w:tcPr>
            <w:tcW w:w="4349" w:type="dxa"/>
          </w:tcPr>
          <w:p w14:paraId="04F72684" w14:textId="1D33EF2C" w:rsidR="00994077" w:rsidRDefault="00994077" w:rsidP="00415891">
            <w:pPr>
              <w:pStyle w:val="Text"/>
            </w:pPr>
            <w:r>
              <w:t>Administrative amendments to remove the year in policy references.</w:t>
            </w:r>
          </w:p>
        </w:tc>
        <w:tc>
          <w:tcPr>
            <w:tcW w:w="1736" w:type="dxa"/>
          </w:tcPr>
          <w:p w14:paraId="188D5AD1" w14:textId="01FCAC3F" w:rsidR="00994077" w:rsidRDefault="00994077" w:rsidP="005420CA">
            <w:pPr>
              <w:pStyle w:val="Text"/>
            </w:pPr>
            <w:r>
              <w:t>1</w:t>
            </w:r>
            <w:r w:rsidR="00B2433E">
              <w:t>6</w:t>
            </w:r>
            <w:r>
              <w:t xml:space="preserve"> April 2024</w:t>
            </w:r>
          </w:p>
        </w:tc>
      </w:tr>
      <w:tr w:rsidR="00AE59C2" w14:paraId="09CD77DF" w14:textId="77777777" w:rsidTr="00AE4033">
        <w:trPr>
          <w:cantSplit/>
        </w:trPr>
        <w:tc>
          <w:tcPr>
            <w:tcW w:w="1851" w:type="dxa"/>
          </w:tcPr>
          <w:p w14:paraId="2371DEA8" w14:textId="00930C08" w:rsidR="00AE59C2" w:rsidRDefault="006175BE" w:rsidP="005420CA">
            <w:pPr>
              <w:pStyle w:val="Text"/>
            </w:pPr>
            <w:r>
              <w:t>5</w:t>
            </w:r>
            <w:r w:rsidR="00B006D1">
              <w:t>(1)(b)</w:t>
            </w:r>
          </w:p>
        </w:tc>
        <w:tc>
          <w:tcPr>
            <w:tcW w:w="4349" w:type="dxa"/>
          </w:tcPr>
          <w:p w14:paraId="62778CB9" w14:textId="1016A977" w:rsidR="00AE59C2" w:rsidRDefault="006175BE" w:rsidP="00415891">
            <w:pPr>
              <w:pStyle w:val="Text"/>
            </w:pPr>
            <w:r>
              <w:t>Replaced ‘Taylors College, in respect of the University of Sydney Foundation Program’ with ‘pathway providers’.</w:t>
            </w:r>
          </w:p>
        </w:tc>
        <w:tc>
          <w:tcPr>
            <w:tcW w:w="1736" w:type="dxa"/>
          </w:tcPr>
          <w:p w14:paraId="1F5E902B" w14:textId="2D62A263" w:rsidR="00AE59C2" w:rsidRDefault="00B006D1" w:rsidP="005420CA">
            <w:pPr>
              <w:pStyle w:val="Text"/>
            </w:pPr>
            <w:r>
              <w:t>1 May 2024</w:t>
            </w:r>
          </w:p>
        </w:tc>
      </w:tr>
      <w:tr w:rsidR="00AE59C2" w14:paraId="19E63C20" w14:textId="77777777" w:rsidTr="00AE4033">
        <w:trPr>
          <w:cantSplit/>
        </w:trPr>
        <w:tc>
          <w:tcPr>
            <w:tcW w:w="1851" w:type="dxa"/>
          </w:tcPr>
          <w:p w14:paraId="52008CC3" w14:textId="4AA61B17" w:rsidR="00AE59C2" w:rsidRDefault="006175BE" w:rsidP="005420CA">
            <w:pPr>
              <w:pStyle w:val="Text"/>
            </w:pPr>
            <w:r>
              <w:t>6</w:t>
            </w:r>
          </w:p>
        </w:tc>
        <w:tc>
          <w:tcPr>
            <w:tcW w:w="4349" w:type="dxa"/>
          </w:tcPr>
          <w:p w14:paraId="7A25017C" w14:textId="79344D99" w:rsidR="00AE59C2" w:rsidRDefault="006175BE" w:rsidP="00415891">
            <w:pPr>
              <w:pStyle w:val="Text"/>
            </w:pPr>
            <w:r>
              <w:t>Definition of ‘delegate’: Added ‘Part 3 of’; replaced ‘means any person or entity to whom, or to which, a delegation has been made by Senate’.</w:t>
            </w:r>
          </w:p>
        </w:tc>
        <w:tc>
          <w:tcPr>
            <w:tcW w:w="1736" w:type="dxa"/>
          </w:tcPr>
          <w:p w14:paraId="78B6DA6B" w14:textId="00DC393A" w:rsidR="00AE59C2" w:rsidRDefault="00B006D1" w:rsidP="005420CA">
            <w:pPr>
              <w:pStyle w:val="Text"/>
            </w:pPr>
            <w:r>
              <w:t>1 May 2024</w:t>
            </w:r>
          </w:p>
        </w:tc>
      </w:tr>
      <w:tr w:rsidR="00AE59C2" w14:paraId="37FEAB06" w14:textId="77777777" w:rsidTr="00AE4033">
        <w:trPr>
          <w:cantSplit/>
        </w:trPr>
        <w:tc>
          <w:tcPr>
            <w:tcW w:w="1851" w:type="dxa"/>
          </w:tcPr>
          <w:p w14:paraId="7DF94962" w14:textId="0899785F" w:rsidR="00AE59C2" w:rsidRDefault="006175BE" w:rsidP="005420CA">
            <w:pPr>
              <w:pStyle w:val="Text"/>
            </w:pPr>
            <w:r>
              <w:t>6</w:t>
            </w:r>
          </w:p>
        </w:tc>
        <w:tc>
          <w:tcPr>
            <w:tcW w:w="4349" w:type="dxa"/>
          </w:tcPr>
          <w:p w14:paraId="5F8126A4" w14:textId="74FA982C" w:rsidR="00AE59C2" w:rsidRDefault="006175BE" w:rsidP="00415891">
            <w:pPr>
              <w:pStyle w:val="Text"/>
            </w:pPr>
            <w:r>
              <w:t>Definition of ‘Department’: deleted ‘Commonwealth’.</w:t>
            </w:r>
          </w:p>
        </w:tc>
        <w:tc>
          <w:tcPr>
            <w:tcW w:w="1736" w:type="dxa"/>
          </w:tcPr>
          <w:p w14:paraId="78B44D19" w14:textId="0615FACB" w:rsidR="00AE59C2" w:rsidRDefault="00B006D1" w:rsidP="005420CA">
            <w:pPr>
              <w:pStyle w:val="Text"/>
            </w:pPr>
            <w:r>
              <w:t>1 May 2024</w:t>
            </w:r>
          </w:p>
        </w:tc>
      </w:tr>
      <w:tr w:rsidR="00AE59C2" w14:paraId="7180ACF3" w14:textId="77777777" w:rsidTr="00AE4033">
        <w:trPr>
          <w:cantSplit/>
        </w:trPr>
        <w:tc>
          <w:tcPr>
            <w:tcW w:w="1851" w:type="dxa"/>
          </w:tcPr>
          <w:p w14:paraId="66328304" w14:textId="5D55D608" w:rsidR="00AE59C2" w:rsidRDefault="006175BE" w:rsidP="005420CA">
            <w:pPr>
              <w:pStyle w:val="Text"/>
            </w:pPr>
            <w:r>
              <w:t>6</w:t>
            </w:r>
          </w:p>
        </w:tc>
        <w:tc>
          <w:tcPr>
            <w:tcW w:w="4349" w:type="dxa"/>
          </w:tcPr>
          <w:p w14:paraId="3AD91263" w14:textId="6D9F529D" w:rsidR="00AE59C2" w:rsidRDefault="006175BE" w:rsidP="00415891">
            <w:pPr>
              <w:pStyle w:val="Text"/>
            </w:pPr>
            <w:r>
              <w:t>Definition of ‘student’: replaced ‘</w:t>
            </w:r>
            <w:r w:rsidR="00A107A4">
              <w:t>Taylor’s College’ with ‘pathway provider’.</w:t>
            </w:r>
          </w:p>
        </w:tc>
        <w:tc>
          <w:tcPr>
            <w:tcW w:w="1736" w:type="dxa"/>
          </w:tcPr>
          <w:p w14:paraId="34A322F4" w14:textId="72B6EB5D" w:rsidR="00AE59C2" w:rsidRDefault="00B006D1" w:rsidP="005420CA">
            <w:pPr>
              <w:pStyle w:val="Text"/>
            </w:pPr>
            <w:r>
              <w:t>1 May 2024</w:t>
            </w:r>
          </w:p>
        </w:tc>
      </w:tr>
      <w:tr w:rsidR="00A107A4" w14:paraId="29054AAB" w14:textId="77777777" w:rsidTr="00AE4033">
        <w:trPr>
          <w:cantSplit/>
        </w:trPr>
        <w:tc>
          <w:tcPr>
            <w:tcW w:w="1851" w:type="dxa"/>
          </w:tcPr>
          <w:p w14:paraId="2B0064EE" w14:textId="2E0663A3" w:rsidR="00A107A4" w:rsidRDefault="00A107A4" w:rsidP="005420CA">
            <w:pPr>
              <w:pStyle w:val="Text"/>
            </w:pPr>
            <w:r>
              <w:t>6</w:t>
            </w:r>
          </w:p>
        </w:tc>
        <w:tc>
          <w:tcPr>
            <w:tcW w:w="4349" w:type="dxa"/>
          </w:tcPr>
          <w:p w14:paraId="492CCA5D" w14:textId="76FF0BEA" w:rsidR="00A107A4" w:rsidRDefault="00A107A4" w:rsidP="00415891">
            <w:pPr>
              <w:pStyle w:val="Text"/>
            </w:pPr>
            <w:r>
              <w:t>Deleted definition of ‘</w:t>
            </w:r>
            <w:r w:rsidR="00B006D1">
              <w:t>t</w:t>
            </w:r>
            <w:r>
              <w:t>hird party provider’.</w:t>
            </w:r>
          </w:p>
        </w:tc>
        <w:tc>
          <w:tcPr>
            <w:tcW w:w="1736" w:type="dxa"/>
          </w:tcPr>
          <w:p w14:paraId="565C2BB3" w14:textId="2B21C203" w:rsidR="00A107A4" w:rsidRDefault="00B006D1" w:rsidP="005420CA">
            <w:pPr>
              <w:pStyle w:val="Text"/>
            </w:pPr>
            <w:r>
              <w:t>1 May 2024</w:t>
            </w:r>
          </w:p>
        </w:tc>
      </w:tr>
      <w:tr w:rsidR="00A107A4" w14:paraId="524F4529" w14:textId="77777777" w:rsidTr="00AE4033">
        <w:trPr>
          <w:cantSplit/>
        </w:trPr>
        <w:tc>
          <w:tcPr>
            <w:tcW w:w="1851" w:type="dxa"/>
          </w:tcPr>
          <w:p w14:paraId="0E076461" w14:textId="3BA383DF" w:rsidR="00A107A4" w:rsidRDefault="00A107A4" w:rsidP="005420CA">
            <w:pPr>
              <w:pStyle w:val="Text"/>
            </w:pPr>
            <w:r>
              <w:t>6</w:t>
            </w:r>
          </w:p>
        </w:tc>
        <w:tc>
          <w:tcPr>
            <w:tcW w:w="4349" w:type="dxa"/>
          </w:tcPr>
          <w:p w14:paraId="4CA2A58B" w14:textId="7D881970" w:rsidR="00A107A4" w:rsidRDefault="00A107A4" w:rsidP="00415891">
            <w:pPr>
              <w:pStyle w:val="Text"/>
            </w:pPr>
            <w:r>
              <w:t>Deleted definition of ‘Taylors College’.</w:t>
            </w:r>
          </w:p>
        </w:tc>
        <w:tc>
          <w:tcPr>
            <w:tcW w:w="1736" w:type="dxa"/>
          </w:tcPr>
          <w:p w14:paraId="16B5AA34" w14:textId="5EEB1C15" w:rsidR="00A107A4" w:rsidRDefault="00B006D1" w:rsidP="005420CA">
            <w:pPr>
              <w:pStyle w:val="Text"/>
            </w:pPr>
            <w:r>
              <w:t>1 May 2024</w:t>
            </w:r>
          </w:p>
        </w:tc>
      </w:tr>
      <w:tr w:rsidR="00A107A4" w14:paraId="3B898B6C" w14:textId="77777777" w:rsidTr="00AE4033">
        <w:trPr>
          <w:cantSplit/>
        </w:trPr>
        <w:tc>
          <w:tcPr>
            <w:tcW w:w="1851" w:type="dxa"/>
          </w:tcPr>
          <w:p w14:paraId="6B8E54F6" w14:textId="68DBBDC2" w:rsidR="00A107A4" w:rsidRDefault="00A107A4" w:rsidP="005420CA">
            <w:pPr>
              <w:pStyle w:val="Text"/>
            </w:pPr>
            <w:r>
              <w:t>6</w:t>
            </w:r>
          </w:p>
        </w:tc>
        <w:tc>
          <w:tcPr>
            <w:tcW w:w="4349" w:type="dxa"/>
          </w:tcPr>
          <w:p w14:paraId="4E5E562F" w14:textId="6EBE7B79" w:rsidR="00A107A4" w:rsidRDefault="00A107A4" w:rsidP="00415891">
            <w:pPr>
              <w:pStyle w:val="Text"/>
            </w:pPr>
            <w:r>
              <w:t>Added definition of ‘pathway provider’.</w:t>
            </w:r>
          </w:p>
        </w:tc>
        <w:tc>
          <w:tcPr>
            <w:tcW w:w="1736" w:type="dxa"/>
          </w:tcPr>
          <w:p w14:paraId="141D1A60" w14:textId="62DDBFCD" w:rsidR="00A107A4" w:rsidRDefault="00B006D1" w:rsidP="005420CA">
            <w:pPr>
              <w:pStyle w:val="Text"/>
            </w:pPr>
            <w:r>
              <w:t>1 May 2024</w:t>
            </w:r>
          </w:p>
        </w:tc>
      </w:tr>
      <w:tr w:rsidR="00A107A4" w14:paraId="126982B7" w14:textId="77777777" w:rsidTr="00AE4033">
        <w:trPr>
          <w:cantSplit/>
        </w:trPr>
        <w:tc>
          <w:tcPr>
            <w:tcW w:w="1851" w:type="dxa"/>
          </w:tcPr>
          <w:p w14:paraId="4847C6F6" w14:textId="695197DB" w:rsidR="00A107A4" w:rsidRDefault="00A107A4" w:rsidP="005420CA">
            <w:pPr>
              <w:pStyle w:val="Text"/>
            </w:pPr>
            <w:r>
              <w:t>7(1), 7(2), 7(3), 10(1), 11(1), 12(1)</w:t>
            </w:r>
          </w:p>
        </w:tc>
        <w:tc>
          <w:tcPr>
            <w:tcW w:w="4349" w:type="dxa"/>
          </w:tcPr>
          <w:p w14:paraId="04A8AEA7" w14:textId="211FB2E1" w:rsidR="00A107A4" w:rsidRDefault="00A107A4" w:rsidP="00415891">
            <w:pPr>
              <w:pStyle w:val="Text"/>
            </w:pPr>
            <w:r>
              <w:t>Replaced ‘third-party’ with ‘pathway’.</w:t>
            </w:r>
          </w:p>
        </w:tc>
        <w:tc>
          <w:tcPr>
            <w:tcW w:w="1736" w:type="dxa"/>
          </w:tcPr>
          <w:p w14:paraId="5640E3A1" w14:textId="583E6484" w:rsidR="00A107A4" w:rsidRDefault="00B006D1" w:rsidP="005420CA">
            <w:pPr>
              <w:pStyle w:val="Text"/>
            </w:pPr>
            <w:r>
              <w:t>1 May 2024</w:t>
            </w:r>
          </w:p>
        </w:tc>
      </w:tr>
    </w:tbl>
    <w:p w14:paraId="64EAD34E" w14:textId="13F9DA15" w:rsidR="004A7E8A" w:rsidRDefault="004A7E8A" w:rsidP="00AE1299"/>
    <w:sectPr w:rsidR="004A7E8A" w:rsidSect="004502B5">
      <w:headerReference w:type="default" r:id="rId15"/>
      <w:footerReference w:type="default" r:id="rId16"/>
      <w:headerReference w:type="first" r:id="rId17"/>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1A79" w14:textId="77777777" w:rsidR="004502B5" w:rsidRDefault="004502B5" w:rsidP="008C4EF7">
      <w:pPr>
        <w:spacing w:after="0"/>
      </w:pPr>
      <w:r>
        <w:separator/>
      </w:r>
    </w:p>
  </w:endnote>
  <w:endnote w:type="continuationSeparator" w:id="0">
    <w:p w14:paraId="312BABF8" w14:textId="77777777" w:rsidR="004502B5" w:rsidRDefault="004502B5" w:rsidP="008C4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EED9" w14:textId="77777777" w:rsidR="00683617" w:rsidRDefault="00683617" w:rsidP="00C800AF">
    <w:pPr>
      <w:pStyle w:val="Footer"/>
      <w:spacing w:before="240"/>
      <w:rPr>
        <w:sz w:val="18"/>
        <w:szCs w:val="18"/>
      </w:rPr>
    </w:pPr>
  </w:p>
  <w:p w14:paraId="4D624326" w14:textId="2B41EDFE" w:rsidR="00683617" w:rsidRDefault="00683617" w:rsidP="00C800AF">
    <w:pPr>
      <w:pStyle w:val="Footer"/>
      <w:spacing w:before="240"/>
      <w:rPr>
        <w:noProof/>
        <w:sz w:val="16"/>
        <w:szCs w:val="16"/>
        <w:lang w:val="en-US"/>
      </w:rPr>
    </w:pPr>
    <w:r w:rsidRPr="0078523D">
      <w:rPr>
        <w:sz w:val="18"/>
        <w:szCs w:val="18"/>
      </w:rPr>
      <w:t>Under 18 International Students Policy 2016</w:t>
    </w:r>
    <w:r w:rsidRPr="00157AAA">
      <w:tab/>
    </w:r>
    <w:r w:rsidRPr="00157AAA">
      <w:tab/>
    </w:r>
    <w:r w:rsidRPr="00157AAA">
      <w:rPr>
        <w:sz w:val="16"/>
        <w:szCs w:val="16"/>
        <w:lang w:val="en-US"/>
      </w:rPr>
      <w:t xml:space="preserve">Page </w:t>
    </w:r>
    <w:r w:rsidRPr="00157AAA">
      <w:rPr>
        <w:sz w:val="16"/>
        <w:szCs w:val="16"/>
        <w:lang w:val="en-US"/>
      </w:rPr>
      <w:fldChar w:fldCharType="begin"/>
    </w:r>
    <w:r w:rsidRPr="00157AAA">
      <w:rPr>
        <w:sz w:val="16"/>
        <w:szCs w:val="16"/>
        <w:lang w:val="en-US"/>
      </w:rPr>
      <w:instrText xml:space="preserve"> PAGE </w:instrText>
    </w:r>
    <w:r w:rsidRPr="00157AAA">
      <w:rPr>
        <w:sz w:val="16"/>
        <w:szCs w:val="16"/>
        <w:lang w:val="en-US"/>
      </w:rPr>
      <w:fldChar w:fldCharType="separate"/>
    </w:r>
    <w:r w:rsidR="001B12C9">
      <w:rPr>
        <w:noProof/>
        <w:sz w:val="16"/>
        <w:szCs w:val="16"/>
        <w:lang w:val="en-US"/>
      </w:rPr>
      <w:t>2</w:t>
    </w:r>
    <w:r w:rsidRPr="00157AAA">
      <w:rPr>
        <w:sz w:val="16"/>
        <w:szCs w:val="16"/>
        <w:lang w:val="en-US"/>
      </w:rPr>
      <w:fldChar w:fldCharType="end"/>
    </w:r>
    <w:r w:rsidRPr="00157AAA">
      <w:rPr>
        <w:sz w:val="16"/>
        <w:szCs w:val="16"/>
        <w:lang w:val="en-US"/>
      </w:rPr>
      <w:t xml:space="preserve"> of </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sidR="001B12C9">
      <w:rPr>
        <w:noProof/>
        <w:sz w:val="16"/>
        <w:szCs w:val="16"/>
        <w:lang w:val="en-US"/>
      </w:rPr>
      <w:t>8</w:t>
    </w:r>
    <w:r>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42C4" w14:textId="77777777" w:rsidR="004502B5" w:rsidRDefault="004502B5" w:rsidP="008C4EF7">
      <w:pPr>
        <w:spacing w:after="0"/>
      </w:pPr>
      <w:r>
        <w:separator/>
      </w:r>
    </w:p>
  </w:footnote>
  <w:footnote w:type="continuationSeparator" w:id="0">
    <w:p w14:paraId="396E75F2" w14:textId="77777777" w:rsidR="004502B5" w:rsidRDefault="004502B5" w:rsidP="008C4E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8A1" w14:textId="77777777" w:rsidR="00683617" w:rsidRDefault="00683617">
    <w:r>
      <w:rPr>
        <w:noProof/>
        <w:lang w:val="en-US" w:eastAsia="en-US"/>
      </w:rPr>
      <w:drawing>
        <wp:inline distT="0" distB="0" distL="0" distR="0" wp14:anchorId="562454BE" wp14:editId="4AD3ECF7">
          <wp:extent cx="1744345" cy="558800"/>
          <wp:effectExtent l="0" t="0" r="0" b="0"/>
          <wp:docPr id="1"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44345" cy="558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BF39" w14:textId="77777777" w:rsidR="00683617" w:rsidRPr="00BE0B4B" w:rsidRDefault="00683617" w:rsidP="00952A4A">
    <w:pPr>
      <w:tabs>
        <w:tab w:val="left" w:pos="142"/>
      </w:tabs>
      <w:rPr>
        <w:sz w:val="22"/>
      </w:rPr>
    </w:pPr>
    <w:r>
      <w:rPr>
        <w:noProof/>
        <w:lang w:val="en-US" w:eastAsia="en-US"/>
      </w:rPr>
      <w:drawing>
        <wp:anchor distT="0" distB="0" distL="114300" distR="114300" simplePos="0" relativeHeight="251658240" behindDoc="0" locked="0" layoutInCell="1" allowOverlap="1" wp14:anchorId="3F36A7CE" wp14:editId="2ED06F24">
          <wp:simplePos x="0" y="0"/>
          <wp:positionH relativeFrom="page">
            <wp:posOffset>1196975</wp:posOffset>
          </wp:positionH>
          <wp:positionV relativeFrom="page">
            <wp:posOffset>482600</wp:posOffset>
          </wp:positionV>
          <wp:extent cx="1568450" cy="546100"/>
          <wp:effectExtent l="0" t="0" r="6350" b="12700"/>
          <wp:wrapNone/>
          <wp:docPr id="2"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546100"/>
                  </a:xfrm>
                  <a:prstGeom prst="rect">
                    <a:avLst/>
                  </a:prstGeom>
                  <a:noFill/>
                </pic:spPr>
              </pic:pic>
            </a:graphicData>
          </a:graphic>
          <wp14:sizeRelH relativeFrom="page">
            <wp14:pctWidth>0</wp14:pctWidth>
          </wp14:sizeRelH>
          <wp14:sizeRelV relativeFrom="page">
            <wp14:pctHeight>0</wp14:pctHeight>
          </wp14:sizeRelV>
        </wp:anchor>
      </w:drawing>
    </w:r>
  </w:p>
  <w:p w14:paraId="128ABCFC" w14:textId="77777777" w:rsidR="00683617" w:rsidRDefault="00683617" w:rsidP="0095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777"/>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 w15:restartNumberingAfterBreak="0">
    <w:nsid w:val="041956E9"/>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2" w15:restartNumberingAfterBreak="0">
    <w:nsid w:val="04B7085C"/>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224C676D"/>
    <w:multiLevelType w:val="multilevel"/>
    <w:tmpl w:val="032643D0"/>
    <w:lvl w:ilvl="0">
      <w:start w:val="1"/>
      <w:numFmt w:val="none"/>
      <w:isLgl/>
      <w:suff w:val="nothing"/>
      <w:lvlText w:val=""/>
      <w:lvlJc w:val="left"/>
      <w:pPr>
        <w:ind w:left="0" w:firstLine="0"/>
      </w:pPr>
      <w:rPr>
        <w:rFonts w:hint="default"/>
      </w:rPr>
    </w:lvl>
    <w:lvl w:ilvl="1">
      <w:start w:val="1"/>
      <w:numFmt w:val="decimal"/>
      <w:pStyle w:val="FirstLevel"/>
      <w:lvlText w:val="(%2)"/>
      <w:lvlJc w:val="left"/>
      <w:pPr>
        <w:tabs>
          <w:tab w:val="num" w:pos="567"/>
        </w:tabs>
        <w:ind w:left="567" w:hanging="567"/>
      </w:pPr>
      <w:rPr>
        <w:rFonts w:hint="default"/>
      </w:rPr>
    </w:lvl>
    <w:lvl w:ilvl="2">
      <w:start w:val="1"/>
      <w:numFmt w:val="lowerLetter"/>
      <w:pStyle w:val="SecondLevel"/>
      <w:lvlText w:val="(%3)"/>
      <w:lvlJc w:val="left"/>
      <w:pPr>
        <w:tabs>
          <w:tab w:val="num" w:pos="1134"/>
        </w:tabs>
        <w:ind w:left="1134" w:hanging="567"/>
      </w:pPr>
      <w:rPr>
        <w:rFonts w:hint="default"/>
      </w:rPr>
    </w:lvl>
    <w:lvl w:ilvl="3">
      <w:start w:val="1"/>
      <w:numFmt w:val="lowerRoman"/>
      <w:pStyle w:val="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250B5BD6"/>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5" w15:restartNumberingAfterBreak="0">
    <w:nsid w:val="2BFB6BE2"/>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6" w15:restartNumberingAfterBreak="0">
    <w:nsid w:val="2EAD6D9C"/>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7" w15:restartNumberingAfterBreak="0">
    <w:nsid w:val="32C74384"/>
    <w:multiLevelType w:val="hybridMultilevel"/>
    <w:tmpl w:val="AA7A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3F6632"/>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9" w15:restartNumberingAfterBreak="0">
    <w:nsid w:val="5AF2307E"/>
    <w:multiLevelType w:val="hybridMultilevel"/>
    <w:tmpl w:val="7F6A90BC"/>
    <w:lvl w:ilvl="0" w:tplc="4EBE47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342ED"/>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1" w15:restartNumberingAfterBreak="0">
    <w:nsid w:val="611B10D2"/>
    <w:multiLevelType w:val="multilevel"/>
    <w:tmpl w:val="D3CE4140"/>
    <w:lvl w:ilvl="0">
      <w:start w:val="1"/>
      <w:numFmt w:val="bullet"/>
      <w:pStyle w:val="text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2" w15:restartNumberingAfterBreak="0">
    <w:nsid w:val="6AA50DF8"/>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3" w15:restartNumberingAfterBreak="0">
    <w:nsid w:val="6B1304DE"/>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4" w15:restartNumberingAfterBreak="0">
    <w:nsid w:val="6F137677"/>
    <w:multiLevelType w:val="hybridMultilevel"/>
    <w:tmpl w:val="7BE0C610"/>
    <w:lvl w:ilvl="0" w:tplc="4588D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43C4D"/>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6" w15:restartNumberingAfterBreak="0">
    <w:nsid w:val="729F0CCC"/>
    <w:multiLevelType w:val="hybridMultilevel"/>
    <w:tmpl w:val="07EE9878"/>
    <w:lvl w:ilvl="0" w:tplc="395279D0">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694DC1"/>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8" w15:restartNumberingAfterBreak="0">
    <w:nsid w:val="7BD203BD"/>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19" w15:restartNumberingAfterBreak="0">
    <w:nsid w:val="7C755E37"/>
    <w:multiLevelType w:val="multilevel"/>
    <w:tmpl w:val="032643D0"/>
    <w:lvl w:ilvl="0">
      <w:start w:val="1"/>
      <w:numFmt w:val="none"/>
      <w:isLgl/>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num w:numId="1" w16cid:durableId="573122815">
    <w:abstractNumId w:val="3"/>
  </w:num>
  <w:num w:numId="2" w16cid:durableId="1266040228">
    <w:abstractNumId w:val="11"/>
  </w:num>
  <w:num w:numId="3" w16cid:durableId="1654261580">
    <w:abstractNumId w:val="3"/>
  </w:num>
  <w:num w:numId="4" w16cid:durableId="41567054">
    <w:abstractNumId w:val="3"/>
  </w:num>
  <w:num w:numId="5" w16cid:durableId="103960836">
    <w:abstractNumId w:val="3"/>
  </w:num>
  <w:num w:numId="6" w16cid:durableId="704018287">
    <w:abstractNumId w:val="11"/>
  </w:num>
  <w:num w:numId="7" w16cid:durableId="882331304">
    <w:abstractNumId w:val="3"/>
  </w:num>
  <w:num w:numId="8" w16cid:durableId="910771625">
    <w:abstractNumId w:val="3"/>
  </w:num>
  <w:num w:numId="9" w16cid:durableId="578056714">
    <w:abstractNumId w:val="3"/>
  </w:num>
  <w:num w:numId="10" w16cid:durableId="1792479331">
    <w:abstractNumId w:val="11"/>
  </w:num>
  <w:num w:numId="11" w16cid:durableId="87697134">
    <w:abstractNumId w:val="3"/>
  </w:num>
  <w:num w:numId="12" w16cid:durableId="1061170781">
    <w:abstractNumId w:val="3"/>
  </w:num>
  <w:num w:numId="13" w16cid:durableId="2061438856">
    <w:abstractNumId w:val="16"/>
  </w:num>
  <w:num w:numId="14" w16cid:durableId="1627197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559904">
    <w:abstractNumId w:val="6"/>
  </w:num>
  <w:num w:numId="16" w16cid:durableId="1503161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5209361">
    <w:abstractNumId w:val="1"/>
  </w:num>
  <w:num w:numId="18" w16cid:durableId="1321278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5123491">
    <w:abstractNumId w:val="0"/>
  </w:num>
  <w:num w:numId="20" w16cid:durableId="1739356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4889793">
    <w:abstractNumId w:val="5"/>
  </w:num>
  <w:num w:numId="22" w16cid:durableId="1326395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7425515">
    <w:abstractNumId w:val="18"/>
  </w:num>
  <w:num w:numId="24" w16cid:durableId="968124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7245606">
    <w:abstractNumId w:val="8"/>
  </w:num>
  <w:num w:numId="26" w16cid:durableId="93943475">
    <w:abstractNumId w:val="3"/>
  </w:num>
  <w:num w:numId="27" w16cid:durableId="780035343">
    <w:abstractNumId w:val="15"/>
  </w:num>
  <w:num w:numId="28" w16cid:durableId="2029595075">
    <w:abstractNumId w:val="3"/>
  </w:num>
  <w:num w:numId="29" w16cid:durableId="1526939300">
    <w:abstractNumId w:val="14"/>
  </w:num>
  <w:num w:numId="30" w16cid:durableId="170267220">
    <w:abstractNumId w:val="9"/>
  </w:num>
  <w:num w:numId="31" w16cid:durableId="668409946">
    <w:abstractNumId w:val="2"/>
  </w:num>
  <w:num w:numId="32" w16cid:durableId="82189096">
    <w:abstractNumId w:val="12"/>
  </w:num>
  <w:num w:numId="33" w16cid:durableId="1198545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1712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5954566">
    <w:abstractNumId w:val="7"/>
  </w:num>
  <w:num w:numId="36" w16cid:durableId="1883009223">
    <w:abstractNumId w:val="19"/>
  </w:num>
  <w:num w:numId="37" w16cid:durableId="1654139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05962015">
    <w:abstractNumId w:val="13"/>
  </w:num>
  <w:num w:numId="39" w16cid:durableId="80490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0467099">
    <w:abstractNumId w:val="10"/>
  </w:num>
  <w:num w:numId="41" w16cid:durableId="1385639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7459512">
    <w:abstractNumId w:val="17"/>
  </w:num>
  <w:num w:numId="43" w16cid:durableId="662320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9330848">
    <w:abstractNumId w:val="4"/>
  </w:num>
  <w:num w:numId="45" w16cid:durableId="218251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1A"/>
    <w:rsid w:val="000001A4"/>
    <w:rsid w:val="00003313"/>
    <w:rsid w:val="000072E0"/>
    <w:rsid w:val="00007FF4"/>
    <w:rsid w:val="00010CB0"/>
    <w:rsid w:val="000145DB"/>
    <w:rsid w:val="00014936"/>
    <w:rsid w:val="00021778"/>
    <w:rsid w:val="000342ED"/>
    <w:rsid w:val="00035D38"/>
    <w:rsid w:val="00035D61"/>
    <w:rsid w:val="000409C9"/>
    <w:rsid w:val="00040A7A"/>
    <w:rsid w:val="00040C22"/>
    <w:rsid w:val="00060DBA"/>
    <w:rsid w:val="00094971"/>
    <w:rsid w:val="000970ED"/>
    <w:rsid w:val="000972A4"/>
    <w:rsid w:val="000A0B4D"/>
    <w:rsid w:val="000A697A"/>
    <w:rsid w:val="000B64BC"/>
    <w:rsid w:val="000C3130"/>
    <w:rsid w:val="000D04D5"/>
    <w:rsid w:val="000D20AF"/>
    <w:rsid w:val="000E05AE"/>
    <w:rsid w:val="000E2911"/>
    <w:rsid w:val="000F0E32"/>
    <w:rsid w:val="001023AD"/>
    <w:rsid w:val="001064ED"/>
    <w:rsid w:val="001119BA"/>
    <w:rsid w:val="00123BDA"/>
    <w:rsid w:val="0012484D"/>
    <w:rsid w:val="0014733E"/>
    <w:rsid w:val="00151B1D"/>
    <w:rsid w:val="001736A7"/>
    <w:rsid w:val="00174E3D"/>
    <w:rsid w:val="00177CE2"/>
    <w:rsid w:val="001904D1"/>
    <w:rsid w:val="00191FB5"/>
    <w:rsid w:val="001A6251"/>
    <w:rsid w:val="001B12C9"/>
    <w:rsid w:val="001B7DFD"/>
    <w:rsid w:val="001C27ED"/>
    <w:rsid w:val="001C46EF"/>
    <w:rsid w:val="001D2423"/>
    <w:rsid w:val="001D2F4E"/>
    <w:rsid w:val="001D5AFB"/>
    <w:rsid w:val="001E4CAE"/>
    <w:rsid w:val="001E6B0A"/>
    <w:rsid w:val="001F1757"/>
    <w:rsid w:val="001F7C8C"/>
    <w:rsid w:val="00203EA7"/>
    <w:rsid w:val="00207EC7"/>
    <w:rsid w:val="00223217"/>
    <w:rsid w:val="0022490D"/>
    <w:rsid w:val="00226F01"/>
    <w:rsid w:val="002302C4"/>
    <w:rsid w:val="0023410F"/>
    <w:rsid w:val="002470C0"/>
    <w:rsid w:val="00266249"/>
    <w:rsid w:val="00267F11"/>
    <w:rsid w:val="002763C8"/>
    <w:rsid w:val="0028568F"/>
    <w:rsid w:val="00287B3B"/>
    <w:rsid w:val="00292FE0"/>
    <w:rsid w:val="00293C83"/>
    <w:rsid w:val="002A04D3"/>
    <w:rsid w:val="002A6A63"/>
    <w:rsid w:val="002A7E3A"/>
    <w:rsid w:val="002B295B"/>
    <w:rsid w:val="002B5E37"/>
    <w:rsid w:val="002C2474"/>
    <w:rsid w:val="002D7FAC"/>
    <w:rsid w:val="002E4370"/>
    <w:rsid w:val="002E56BA"/>
    <w:rsid w:val="002F5869"/>
    <w:rsid w:val="003051C1"/>
    <w:rsid w:val="0031402E"/>
    <w:rsid w:val="00321A23"/>
    <w:rsid w:val="003251D5"/>
    <w:rsid w:val="0032620B"/>
    <w:rsid w:val="00333211"/>
    <w:rsid w:val="003335F8"/>
    <w:rsid w:val="00340A7F"/>
    <w:rsid w:val="00341B96"/>
    <w:rsid w:val="0034278F"/>
    <w:rsid w:val="00344D18"/>
    <w:rsid w:val="003668FF"/>
    <w:rsid w:val="00366C3A"/>
    <w:rsid w:val="00367070"/>
    <w:rsid w:val="00380E7F"/>
    <w:rsid w:val="00381ABD"/>
    <w:rsid w:val="003874CE"/>
    <w:rsid w:val="00390801"/>
    <w:rsid w:val="00394B36"/>
    <w:rsid w:val="00397A4F"/>
    <w:rsid w:val="003A00EC"/>
    <w:rsid w:val="003A31B6"/>
    <w:rsid w:val="003B34C2"/>
    <w:rsid w:val="003B4145"/>
    <w:rsid w:val="003C265D"/>
    <w:rsid w:val="003D61D2"/>
    <w:rsid w:val="003E3A43"/>
    <w:rsid w:val="003E51AE"/>
    <w:rsid w:val="003F4F0C"/>
    <w:rsid w:val="00400DDB"/>
    <w:rsid w:val="004030F5"/>
    <w:rsid w:val="004044DF"/>
    <w:rsid w:val="004078F8"/>
    <w:rsid w:val="00415891"/>
    <w:rsid w:val="00417225"/>
    <w:rsid w:val="0042392B"/>
    <w:rsid w:val="00426492"/>
    <w:rsid w:val="00427F42"/>
    <w:rsid w:val="00434254"/>
    <w:rsid w:val="00435D52"/>
    <w:rsid w:val="0044003B"/>
    <w:rsid w:val="00446532"/>
    <w:rsid w:val="0044769D"/>
    <w:rsid w:val="004502B5"/>
    <w:rsid w:val="004508CE"/>
    <w:rsid w:val="004536CB"/>
    <w:rsid w:val="00455007"/>
    <w:rsid w:val="004600BC"/>
    <w:rsid w:val="00460208"/>
    <w:rsid w:val="00480759"/>
    <w:rsid w:val="004A02FB"/>
    <w:rsid w:val="004A5192"/>
    <w:rsid w:val="004A6D3F"/>
    <w:rsid w:val="004A7E8A"/>
    <w:rsid w:val="004B1E84"/>
    <w:rsid w:val="004B3223"/>
    <w:rsid w:val="004B48CA"/>
    <w:rsid w:val="004B5CB8"/>
    <w:rsid w:val="004E4270"/>
    <w:rsid w:val="004F4733"/>
    <w:rsid w:val="004F7EBE"/>
    <w:rsid w:val="00500C93"/>
    <w:rsid w:val="00502FD4"/>
    <w:rsid w:val="005037C2"/>
    <w:rsid w:val="00506D85"/>
    <w:rsid w:val="00517B46"/>
    <w:rsid w:val="00517F36"/>
    <w:rsid w:val="005253E0"/>
    <w:rsid w:val="005344D9"/>
    <w:rsid w:val="0053685B"/>
    <w:rsid w:val="005401B9"/>
    <w:rsid w:val="005420CA"/>
    <w:rsid w:val="0054640A"/>
    <w:rsid w:val="0056333A"/>
    <w:rsid w:val="00564FAF"/>
    <w:rsid w:val="00566087"/>
    <w:rsid w:val="005666EB"/>
    <w:rsid w:val="00567542"/>
    <w:rsid w:val="00567998"/>
    <w:rsid w:val="005821EA"/>
    <w:rsid w:val="00584484"/>
    <w:rsid w:val="00592E56"/>
    <w:rsid w:val="0059470D"/>
    <w:rsid w:val="00594BDE"/>
    <w:rsid w:val="005956F4"/>
    <w:rsid w:val="00596240"/>
    <w:rsid w:val="00597637"/>
    <w:rsid w:val="005A251A"/>
    <w:rsid w:val="005A371A"/>
    <w:rsid w:val="005A5749"/>
    <w:rsid w:val="005B6DE8"/>
    <w:rsid w:val="005C1010"/>
    <w:rsid w:val="005C6FBA"/>
    <w:rsid w:val="005D1285"/>
    <w:rsid w:val="005D5510"/>
    <w:rsid w:val="005D55DD"/>
    <w:rsid w:val="005E1BDC"/>
    <w:rsid w:val="005E611A"/>
    <w:rsid w:val="005F11CA"/>
    <w:rsid w:val="005F291F"/>
    <w:rsid w:val="005F705F"/>
    <w:rsid w:val="006016BD"/>
    <w:rsid w:val="00603D21"/>
    <w:rsid w:val="00605CA7"/>
    <w:rsid w:val="0060779D"/>
    <w:rsid w:val="00610EBC"/>
    <w:rsid w:val="006175BE"/>
    <w:rsid w:val="006216B7"/>
    <w:rsid w:val="006250CE"/>
    <w:rsid w:val="00630490"/>
    <w:rsid w:val="006361E5"/>
    <w:rsid w:val="00641CD1"/>
    <w:rsid w:val="00660A91"/>
    <w:rsid w:val="00662120"/>
    <w:rsid w:val="00662642"/>
    <w:rsid w:val="0066794B"/>
    <w:rsid w:val="006702DE"/>
    <w:rsid w:val="006714F8"/>
    <w:rsid w:val="006715ED"/>
    <w:rsid w:val="00676D04"/>
    <w:rsid w:val="00683617"/>
    <w:rsid w:val="00691279"/>
    <w:rsid w:val="006925DD"/>
    <w:rsid w:val="006A4F8B"/>
    <w:rsid w:val="006B2E0B"/>
    <w:rsid w:val="006C11F1"/>
    <w:rsid w:val="006E57CD"/>
    <w:rsid w:val="006F6FC1"/>
    <w:rsid w:val="00707122"/>
    <w:rsid w:val="00707C1B"/>
    <w:rsid w:val="00713601"/>
    <w:rsid w:val="00713D4C"/>
    <w:rsid w:val="007208BC"/>
    <w:rsid w:val="007217F8"/>
    <w:rsid w:val="00723E6C"/>
    <w:rsid w:val="00724BC6"/>
    <w:rsid w:val="00724E3F"/>
    <w:rsid w:val="0074508D"/>
    <w:rsid w:val="00756D63"/>
    <w:rsid w:val="0076311B"/>
    <w:rsid w:val="00766BF2"/>
    <w:rsid w:val="00772571"/>
    <w:rsid w:val="007772BE"/>
    <w:rsid w:val="0078135C"/>
    <w:rsid w:val="00781BF5"/>
    <w:rsid w:val="0078523D"/>
    <w:rsid w:val="00792A1A"/>
    <w:rsid w:val="007A6457"/>
    <w:rsid w:val="007A697F"/>
    <w:rsid w:val="007C49D1"/>
    <w:rsid w:val="007D303E"/>
    <w:rsid w:val="008034DC"/>
    <w:rsid w:val="0080474C"/>
    <w:rsid w:val="0080788F"/>
    <w:rsid w:val="00821200"/>
    <w:rsid w:val="00833BC2"/>
    <w:rsid w:val="00837B78"/>
    <w:rsid w:val="00852CE3"/>
    <w:rsid w:val="00855C7B"/>
    <w:rsid w:val="00856268"/>
    <w:rsid w:val="00862E5D"/>
    <w:rsid w:val="00870FDD"/>
    <w:rsid w:val="00871A46"/>
    <w:rsid w:val="008735B7"/>
    <w:rsid w:val="00874C2F"/>
    <w:rsid w:val="008A1E3E"/>
    <w:rsid w:val="008A5072"/>
    <w:rsid w:val="008C0B56"/>
    <w:rsid w:val="008C1EBD"/>
    <w:rsid w:val="008C4EF7"/>
    <w:rsid w:val="008C58F2"/>
    <w:rsid w:val="008D49EA"/>
    <w:rsid w:val="008D4E88"/>
    <w:rsid w:val="008D650C"/>
    <w:rsid w:val="008F1F30"/>
    <w:rsid w:val="00903E27"/>
    <w:rsid w:val="00911916"/>
    <w:rsid w:val="00911F02"/>
    <w:rsid w:val="00932FE4"/>
    <w:rsid w:val="00936758"/>
    <w:rsid w:val="00943533"/>
    <w:rsid w:val="00943A8E"/>
    <w:rsid w:val="009469B1"/>
    <w:rsid w:val="009474AE"/>
    <w:rsid w:val="00950745"/>
    <w:rsid w:val="00952A4A"/>
    <w:rsid w:val="00955A15"/>
    <w:rsid w:val="009603A4"/>
    <w:rsid w:val="00961854"/>
    <w:rsid w:val="0098704F"/>
    <w:rsid w:val="00994077"/>
    <w:rsid w:val="009A0ECE"/>
    <w:rsid w:val="009A7ACD"/>
    <w:rsid w:val="009B275F"/>
    <w:rsid w:val="009C56FB"/>
    <w:rsid w:val="009C582F"/>
    <w:rsid w:val="009D70E9"/>
    <w:rsid w:val="009D7FD4"/>
    <w:rsid w:val="009E3DD7"/>
    <w:rsid w:val="009E65D9"/>
    <w:rsid w:val="00A0020D"/>
    <w:rsid w:val="00A00E4D"/>
    <w:rsid w:val="00A0454E"/>
    <w:rsid w:val="00A04605"/>
    <w:rsid w:val="00A052CE"/>
    <w:rsid w:val="00A107A4"/>
    <w:rsid w:val="00A166FA"/>
    <w:rsid w:val="00A40909"/>
    <w:rsid w:val="00A50B96"/>
    <w:rsid w:val="00A531BE"/>
    <w:rsid w:val="00A66CE0"/>
    <w:rsid w:val="00A72417"/>
    <w:rsid w:val="00A7582F"/>
    <w:rsid w:val="00A86820"/>
    <w:rsid w:val="00A87198"/>
    <w:rsid w:val="00A945AE"/>
    <w:rsid w:val="00A97AED"/>
    <w:rsid w:val="00AA4712"/>
    <w:rsid w:val="00AA487B"/>
    <w:rsid w:val="00AB6BBA"/>
    <w:rsid w:val="00AC6FB6"/>
    <w:rsid w:val="00AC73C0"/>
    <w:rsid w:val="00AD39BC"/>
    <w:rsid w:val="00AE1299"/>
    <w:rsid w:val="00AE4033"/>
    <w:rsid w:val="00AE59C2"/>
    <w:rsid w:val="00AF3D12"/>
    <w:rsid w:val="00AF6820"/>
    <w:rsid w:val="00B006D1"/>
    <w:rsid w:val="00B20D4D"/>
    <w:rsid w:val="00B21F78"/>
    <w:rsid w:val="00B241CC"/>
    <w:rsid w:val="00B2433E"/>
    <w:rsid w:val="00B24F35"/>
    <w:rsid w:val="00B36F58"/>
    <w:rsid w:val="00B4256E"/>
    <w:rsid w:val="00B43F9D"/>
    <w:rsid w:val="00B45A16"/>
    <w:rsid w:val="00B46C0A"/>
    <w:rsid w:val="00B47370"/>
    <w:rsid w:val="00B5382D"/>
    <w:rsid w:val="00B53C84"/>
    <w:rsid w:val="00B6397A"/>
    <w:rsid w:val="00B66CBE"/>
    <w:rsid w:val="00B717FD"/>
    <w:rsid w:val="00B736FF"/>
    <w:rsid w:val="00B7739F"/>
    <w:rsid w:val="00B77668"/>
    <w:rsid w:val="00B8159E"/>
    <w:rsid w:val="00B83073"/>
    <w:rsid w:val="00B845BC"/>
    <w:rsid w:val="00B92B06"/>
    <w:rsid w:val="00BA1AB0"/>
    <w:rsid w:val="00BA26A3"/>
    <w:rsid w:val="00BA2D2A"/>
    <w:rsid w:val="00BB2E8B"/>
    <w:rsid w:val="00BB3CBB"/>
    <w:rsid w:val="00BC3268"/>
    <w:rsid w:val="00BC43A6"/>
    <w:rsid w:val="00BC5069"/>
    <w:rsid w:val="00BC6309"/>
    <w:rsid w:val="00BC69FB"/>
    <w:rsid w:val="00BD06A8"/>
    <w:rsid w:val="00BF44B9"/>
    <w:rsid w:val="00C00F3C"/>
    <w:rsid w:val="00C10C03"/>
    <w:rsid w:val="00C138F4"/>
    <w:rsid w:val="00C14716"/>
    <w:rsid w:val="00C16309"/>
    <w:rsid w:val="00C20591"/>
    <w:rsid w:val="00C25292"/>
    <w:rsid w:val="00C3278D"/>
    <w:rsid w:val="00C50022"/>
    <w:rsid w:val="00C50381"/>
    <w:rsid w:val="00C5394C"/>
    <w:rsid w:val="00C55996"/>
    <w:rsid w:val="00C7164B"/>
    <w:rsid w:val="00C74BE0"/>
    <w:rsid w:val="00C74F63"/>
    <w:rsid w:val="00C7788D"/>
    <w:rsid w:val="00C800AF"/>
    <w:rsid w:val="00C84F3B"/>
    <w:rsid w:val="00C9578D"/>
    <w:rsid w:val="00CA3834"/>
    <w:rsid w:val="00CA3F50"/>
    <w:rsid w:val="00CA6E51"/>
    <w:rsid w:val="00CB1010"/>
    <w:rsid w:val="00CB16A3"/>
    <w:rsid w:val="00CB1E21"/>
    <w:rsid w:val="00CB26A5"/>
    <w:rsid w:val="00CC2CFB"/>
    <w:rsid w:val="00CC3397"/>
    <w:rsid w:val="00CC6113"/>
    <w:rsid w:val="00CD0C60"/>
    <w:rsid w:val="00CD1091"/>
    <w:rsid w:val="00CD1B30"/>
    <w:rsid w:val="00CD2A82"/>
    <w:rsid w:val="00CE2578"/>
    <w:rsid w:val="00CF315B"/>
    <w:rsid w:val="00CF3C96"/>
    <w:rsid w:val="00CF4DBB"/>
    <w:rsid w:val="00CF5AA5"/>
    <w:rsid w:val="00D003E2"/>
    <w:rsid w:val="00D00733"/>
    <w:rsid w:val="00D12048"/>
    <w:rsid w:val="00D14515"/>
    <w:rsid w:val="00D14ADF"/>
    <w:rsid w:val="00D33120"/>
    <w:rsid w:val="00D3491A"/>
    <w:rsid w:val="00D370DB"/>
    <w:rsid w:val="00D5322B"/>
    <w:rsid w:val="00D56A10"/>
    <w:rsid w:val="00D601DA"/>
    <w:rsid w:val="00D63E01"/>
    <w:rsid w:val="00D72703"/>
    <w:rsid w:val="00D733DC"/>
    <w:rsid w:val="00D8723C"/>
    <w:rsid w:val="00D87DBC"/>
    <w:rsid w:val="00D909A9"/>
    <w:rsid w:val="00D9474D"/>
    <w:rsid w:val="00DA22FD"/>
    <w:rsid w:val="00DB080E"/>
    <w:rsid w:val="00DB0E84"/>
    <w:rsid w:val="00DB1B4F"/>
    <w:rsid w:val="00DB4585"/>
    <w:rsid w:val="00DC1354"/>
    <w:rsid w:val="00DC1381"/>
    <w:rsid w:val="00DC334E"/>
    <w:rsid w:val="00DD1A4F"/>
    <w:rsid w:val="00DD506E"/>
    <w:rsid w:val="00DD5718"/>
    <w:rsid w:val="00E2181F"/>
    <w:rsid w:val="00E263E0"/>
    <w:rsid w:val="00E316CD"/>
    <w:rsid w:val="00E35E01"/>
    <w:rsid w:val="00E374BD"/>
    <w:rsid w:val="00E4354E"/>
    <w:rsid w:val="00E451DB"/>
    <w:rsid w:val="00E512EB"/>
    <w:rsid w:val="00E5615E"/>
    <w:rsid w:val="00E57E69"/>
    <w:rsid w:val="00E72456"/>
    <w:rsid w:val="00E75AE0"/>
    <w:rsid w:val="00E92FB8"/>
    <w:rsid w:val="00EA11CC"/>
    <w:rsid w:val="00EA53AF"/>
    <w:rsid w:val="00EA70FE"/>
    <w:rsid w:val="00EB52FA"/>
    <w:rsid w:val="00EC1331"/>
    <w:rsid w:val="00EC13B6"/>
    <w:rsid w:val="00EC4C1C"/>
    <w:rsid w:val="00EC4D66"/>
    <w:rsid w:val="00ED0731"/>
    <w:rsid w:val="00ED2F66"/>
    <w:rsid w:val="00ED3AF8"/>
    <w:rsid w:val="00EF2C2E"/>
    <w:rsid w:val="00F12202"/>
    <w:rsid w:val="00F24E46"/>
    <w:rsid w:val="00F27472"/>
    <w:rsid w:val="00F32CC8"/>
    <w:rsid w:val="00F37748"/>
    <w:rsid w:val="00F4696C"/>
    <w:rsid w:val="00F503D1"/>
    <w:rsid w:val="00F50871"/>
    <w:rsid w:val="00F5292D"/>
    <w:rsid w:val="00F547BE"/>
    <w:rsid w:val="00F608CC"/>
    <w:rsid w:val="00F667EE"/>
    <w:rsid w:val="00F74081"/>
    <w:rsid w:val="00F746B6"/>
    <w:rsid w:val="00F8659A"/>
    <w:rsid w:val="00FA57AF"/>
    <w:rsid w:val="00FB6038"/>
    <w:rsid w:val="00FC22C9"/>
    <w:rsid w:val="00FC306D"/>
    <w:rsid w:val="00FE50B4"/>
    <w:rsid w:val="00FF1CDA"/>
    <w:rsid w:val="00FF287F"/>
    <w:rsid w:val="00FF3843"/>
    <w:rsid w:val="00FF51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31D1FB"/>
  <w15:docId w15:val="{8F00F309-C712-4FC2-A3EB-314C8DCF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nhideWhenUsed="1"/>
    <w:lsdException w:name="footer" w:locked="0"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E57E69"/>
    <w:pPr>
      <w:spacing w:after="240"/>
    </w:pPr>
  </w:style>
  <w:style w:type="paragraph" w:styleId="Heading1">
    <w:name w:val="heading 1"/>
    <w:next w:val="Text"/>
    <w:link w:val="Heading1Char"/>
    <w:qFormat/>
    <w:rsid w:val="00B46C0A"/>
    <w:pPr>
      <w:keepNext/>
      <w:keepLines/>
      <w:spacing w:before="120"/>
      <w:outlineLvl w:val="0"/>
    </w:pPr>
    <w:rPr>
      <w:b/>
      <w:bCs/>
      <w:caps/>
      <w:color w:val="000000"/>
      <w:sz w:val="40"/>
      <w:szCs w:val="28"/>
    </w:rPr>
  </w:style>
  <w:style w:type="paragraph" w:styleId="Heading2">
    <w:name w:val="heading 2"/>
    <w:basedOn w:val="Heading1"/>
    <w:next w:val="Text"/>
    <w:link w:val="Heading2Char"/>
    <w:qFormat/>
    <w:rsid w:val="00B46C0A"/>
    <w:pPr>
      <w:spacing w:after="200"/>
      <w:outlineLvl w:val="1"/>
    </w:pPr>
    <w:rPr>
      <w:rFonts w:cs="Arial"/>
      <w:iCs/>
      <w:sz w:val="28"/>
    </w:rPr>
  </w:style>
  <w:style w:type="paragraph" w:styleId="Heading3">
    <w:name w:val="heading 3"/>
    <w:basedOn w:val="Heading2"/>
    <w:next w:val="Text"/>
    <w:link w:val="Heading3Char"/>
    <w:qFormat/>
    <w:rsid w:val="00B46C0A"/>
    <w:pPr>
      <w:outlineLvl w:val="2"/>
    </w:pPr>
    <w:rPr>
      <w:sz w:val="20"/>
      <w:szCs w:val="26"/>
    </w:rPr>
  </w:style>
  <w:style w:type="paragraph" w:styleId="Heading4">
    <w:name w:val="heading 4"/>
    <w:basedOn w:val="Heading3"/>
    <w:next w:val="Text"/>
    <w:link w:val="Heading4Char"/>
    <w:qFormat/>
    <w:rsid w:val="00B46C0A"/>
    <w:pPr>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C0A"/>
    <w:rPr>
      <w:rFonts w:ascii="Arial" w:hAnsi="Arial"/>
      <w:b/>
      <w:bCs/>
      <w:caps/>
      <w:color w:val="000000"/>
      <w:sz w:val="40"/>
      <w:szCs w:val="28"/>
    </w:rPr>
  </w:style>
  <w:style w:type="character" w:customStyle="1" w:styleId="Heading2Char">
    <w:name w:val="Heading 2 Char"/>
    <w:basedOn w:val="DefaultParagraphFont"/>
    <w:link w:val="Heading2"/>
    <w:rsid w:val="00B46C0A"/>
    <w:rPr>
      <w:rFonts w:ascii="Arial" w:hAnsi="Arial" w:cs="Arial"/>
      <w:b/>
      <w:bCs/>
      <w:iCs/>
      <w:caps/>
      <w:color w:val="000000"/>
      <w:sz w:val="28"/>
      <w:szCs w:val="28"/>
    </w:rPr>
  </w:style>
  <w:style w:type="character" w:customStyle="1" w:styleId="Heading3Char">
    <w:name w:val="Heading 3 Char"/>
    <w:basedOn w:val="DefaultParagraphFont"/>
    <w:link w:val="Heading3"/>
    <w:rsid w:val="00B46C0A"/>
    <w:rPr>
      <w:rFonts w:ascii="Arial" w:hAnsi="Arial" w:cs="Arial"/>
      <w:b/>
      <w:bCs/>
      <w:iCs/>
      <w:caps/>
      <w:color w:val="000000"/>
      <w:sz w:val="20"/>
      <w:szCs w:val="26"/>
    </w:rPr>
  </w:style>
  <w:style w:type="character" w:customStyle="1" w:styleId="Heading4Char">
    <w:name w:val="Heading 4 Char"/>
    <w:basedOn w:val="DefaultParagraphFont"/>
    <w:link w:val="Heading4"/>
    <w:rsid w:val="00B46C0A"/>
    <w:rPr>
      <w:rFonts w:ascii="Arial" w:hAnsi="Arial" w:cs="Arial"/>
      <w:b/>
      <w:bCs/>
      <w:i/>
      <w:iCs/>
      <w:caps/>
      <w:color w:val="000000"/>
      <w:sz w:val="20"/>
      <w:szCs w:val="28"/>
    </w:rPr>
  </w:style>
  <w:style w:type="paragraph" w:customStyle="1" w:styleId="Text">
    <w:name w:val="Text"/>
    <w:qFormat/>
    <w:rsid w:val="00B46C0A"/>
    <w:pPr>
      <w:spacing w:after="200"/>
    </w:pPr>
    <w:rPr>
      <w:rFonts w:eastAsiaTheme="minorHAnsi" w:cstheme="minorBidi"/>
      <w:lang w:eastAsia="en-US"/>
    </w:rPr>
  </w:style>
  <w:style w:type="paragraph" w:customStyle="1" w:styleId="FirstLevel">
    <w:name w:val="FirstLevel"/>
    <w:basedOn w:val="Normal"/>
    <w:qFormat/>
    <w:rsid w:val="00B46C0A"/>
    <w:pPr>
      <w:numPr>
        <w:ilvl w:val="1"/>
        <w:numId w:val="26"/>
      </w:numPr>
      <w:spacing w:after="120"/>
    </w:pPr>
    <w:rPr>
      <w:rFonts w:eastAsiaTheme="minorHAnsi" w:cstheme="minorBidi"/>
      <w:lang w:eastAsia="en-US"/>
    </w:rPr>
  </w:style>
  <w:style w:type="paragraph" w:customStyle="1" w:styleId="textdotpoint">
    <w:name w:val="text dot point"/>
    <w:basedOn w:val="Text"/>
    <w:qFormat/>
    <w:rsid w:val="00B46C0A"/>
    <w:pPr>
      <w:numPr>
        <w:numId w:val="10"/>
      </w:numPr>
      <w:spacing w:after="60"/>
    </w:pPr>
  </w:style>
  <w:style w:type="paragraph" w:customStyle="1" w:styleId="Notes">
    <w:name w:val="Notes"/>
    <w:basedOn w:val="Normal"/>
    <w:qFormat/>
    <w:rsid w:val="00B46C0A"/>
    <w:pPr>
      <w:ind w:left="720" w:hanging="720"/>
    </w:pPr>
    <w:rPr>
      <w:sz w:val="18"/>
    </w:rPr>
  </w:style>
  <w:style w:type="paragraph" w:customStyle="1" w:styleId="SecondLevel">
    <w:name w:val="SecondLevel"/>
    <w:basedOn w:val="FirstLevel"/>
    <w:qFormat/>
    <w:rsid w:val="00B46C0A"/>
    <w:pPr>
      <w:numPr>
        <w:ilvl w:val="2"/>
      </w:numPr>
    </w:pPr>
  </w:style>
  <w:style w:type="paragraph" w:customStyle="1" w:styleId="ThirdLevel">
    <w:name w:val="ThirdLevel"/>
    <w:basedOn w:val="SecondLevel"/>
    <w:qFormat/>
    <w:rsid w:val="00B46C0A"/>
    <w:pPr>
      <w:numPr>
        <w:ilvl w:val="3"/>
      </w:numPr>
    </w:pPr>
  </w:style>
  <w:style w:type="paragraph" w:customStyle="1" w:styleId="Heading">
    <w:name w:val="Heading"/>
    <w:basedOn w:val="Normal"/>
    <w:next w:val="Text"/>
    <w:qFormat/>
    <w:rsid w:val="00B46C0A"/>
    <w:pPr>
      <w:tabs>
        <w:tab w:val="left" w:pos="567"/>
        <w:tab w:val="left" w:pos="1701"/>
      </w:tabs>
      <w:spacing w:before="480"/>
    </w:pPr>
    <w:rPr>
      <w:b/>
      <w:sz w:val="24"/>
    </w:rPr>
  </w:style>
  <w:style w:type="paragraph" w:styleId="TOC1">
    <w:name w:val="toc 1"/>
    <w:basedOn w:val="Normal"/>
    <w:next w:val="Normal"/>
    <w:autoRedefine/>
    <w:uiPriority w:val="39"/>
    <w:rsid w:val="00B46C0A"/>
    <w:pPr>
      <w:spacing w:before="120" w:after="120"/>
    </w:pPr>
    <w:rPr>
      <w:b/>
    </w:rPr>
  </w:style>
  <w:style w:type="paragraph" w:styleId="TOC2">
    <w:name w:val="toc 2"/>
    <w:basedOn w:val="Normal"/>
    <w:next w:val="Normal"/>
    <w:autoRedefine/>
    <w:uiPriority w:val="39"/>
    <w:rsid w:val="00B46C0A"/>
    <w:pPr>
      <w:tabs>
        <w:tab w:val="left" w:pos="600"/>
        <w:tab w:val="right" w:leader="dot" w:pos="7926"/>
      </w:tabs>
      <w:spacing w:after="0"/>
      <w:ind w:left="198"/>
    </w:pPr>
    <w:rPr>
      <w:sz w:val="18"/>
      <w:szCs w:val="22"/>
    </w:rPr>
  </w:style>
  <w:style w:type="paragraph" w:styleId="TOC3">
    <w:name w:val="toc 3"/>
    <w:basedOn w:val="Normal"/>
    <w:next w:val="Normal"/>
    <w:autoRedefine/>
    <w:rsid w:val="00B46C0A"/>
    <w:pPr>
      <w:ind w:left="400"/>
    </w:pPr>
  </w:style>
  <w:style w:type="paragraph" w:styleId="TOC4">
    <w:name w:val="toc 4"/>
    <w:basedOn w:val="Normal"/>
    <w:next w:val="Normal"/>
    <w:autoRedefine/>
    <w:rsid w:val="00B46C0A"/>
    <w:pPr>
      <w:ind w:left="600"/>
    </w:pPr>
  </w:style>
  <w:style w:type="paragraph" w:styleId="TOC5">
    <w:name w:val="toc 5"/>
    <w:basedOn w:val="Normal"/>
    <w:next w:val="Normal"/>
    <w:autoRedefine/>
    <w:rsid w:val="00B46C0A"/>
    <w:pPr>
      <w:ind w:left="800"/>
    </w:pPr>
  </w:style>
  <w:style w:type="paragraph" w:styleId="TOC6">
    <w:name w:val="toc 6"/>
    <w:basedOn w:val="Normal"/>
    <w:next w:val="Normal"/>
    <w:autoRedefine/>
    <w:rsid w:val="00B46C0A"/>
    <w:pPr>
      <w:ind w:left="1000"/>
    </w:pPr>
  </w:style>
  <w:style w:type="paragraph" w:styleId="TOC7">
    <w:name w:val="toc 7"/>
    <w:basedOn w:val="Normal"/>
    <w:next w:val="Normal"/>
    <w:autoRedefine/>
    <w:rsid w:val="00B46C0A"/>
    <w:pPr>
      <w:ind w:left="1200"/>
    </w:pPr>
  </w:style>
  <w:style w:type="paragraph" w:styleId="TOC8">
    <w:name w:val="toc 8"/>
    <w:basedOn w:val="Normal"/>
    <w:next w:val="Normal"/>
    <w:autoRedefine/>
    <w:rsid w:val="00B46C0A"/>
    <w:pPr>
      <w:ind w:left="1400"/>
    </w:pPr>
  </w:style>
  <w:style w:type="paragraph" w:styleId="TOC9">
    <w:name w:val="toc 9"/>
    <w:basedOn w:val="Normal"/>
    <w:next w:val="Normal"/>
    <w:autoRedefine/>
    <w:rsid w:val="00B46C0A"/>
    <w:pPr>
      <w:ind w:left="1600"/>
    </w:pPr>
  </w:style>
  <w:style w:type="paragraph" w:styleId="Header">
    <w:name w:val="header"/>
    <w:basedOn w:val="Normal"/>
    <w:link w:val="HeaderChar"/>
    <w:rsid w:val="00B46C0A"/>
    <w:pPr>
      <w:tabs>
        <w:tab w:val="center" w:pos="4320"/>
        <w:tab w:val="right" w:pos="8640"/>
      </w:tabs>
      <w:spacing w:after="0"/>
    </w:pPr>
  </w:style>
  <w:style w:type="character" w:customStyle="1" w:styleId="HeaderChar">
    <w:name w:val="Header Char"/>
    <w:basedOn w:val="DefaultParagraphFont"/>
    <w:link w:val="Header"/>
    <w:rsid w:val="00B46C0A"/>
    <w:rPr>
      <w:rFonts w:ascii="Arial" w:hAnsi="Arial"/>
      <w:sz w:val="20"/>
    </w:rPr>
  </w:style>
  <w:style w:type="paragraph" w:styleId="Footer">
    <w:name w:val="footer"/>
    <w:basedOn w:val="Normal"/>
    <w:link w:val="FooterChar"/>
    <w:rsid w:val="00B46C0A"/>
    <w:pPr>
      <w:tabs>
        <w:tab w:val="center" w:pos="4320"/>
        <w:tab w:val="right" w:pos="8640"/>
      </w:tabs>
    </w:pPr>
  </w:style>
  <w:style w:type="character" w:customStyle="1" w:styleId="FooterChar">
    <w:name w:val="Footer Char"/>
    <w:basedOn w:val="DefaultParagraphFont"/>
    <w:link w:val="Footer"/>
    <w:rsid w:val="00B46C0A"/>
    <w:rPr>
      <w:rFonts w:ascii="Arial" w:hAnsi="Arial"/>
      <w:sz w:val="20"/>
    </w:rPr>
  </w:style>
  <w:style w:type="character" w:styleId="Hyperlink">
    <w:name w:val="Hyperlink"/>
    <w:basedOn w:val="DefaultParagraphFont"/>
    <w:rsid w:val="00B46C0A"/>
    <w:rPr>
      <w:color w:val="0000FF" w:themeColor="hyperlink"/>
      <w:u w:val="single"/>
    </w:rPr>
  </w:style>
  <w:style w:type="paragraph" w:styleId="BalloonText">
    <w:name w:val="Balloon Text"/>
    <w:basedOn w:val="Normal"/>
    <w:link w:val="BalloonTextChar"/>
    <w:rsid w:val="00B46C0A"/>
    <w:pPr>
      <w:spacing w:after="0"/>
    </w:pPr>
    <w:rPr>
      <w:rFonts w:ascii="Tahoma" w:hAnsi="Tahoma" w:cs="Tahoma"/>
      <w:sz w:val="16"/>
      <w:szCs w:val="16"/>
    </w:rPr>
  </w:style>
  <w:style w:type="character" w:customStyle="1" w:styleId="BalloonTextChar">
    <w:name w:val="Balloon Text Char"/>
    <w:basedOn w:val="DefaultParagraphFont"/>
    <w:link w:val="BalloonText"/>
    <w:rsid w:val="00B46C0A"/>
    <w:rPr>
      <w:rFonts w:ascii="Tahoma" w:hAnsi="Tahoma" w:cs="Tahoma"/>
      <w:sz w:val="16"/>
      <w:szCs w:val="16"/>
    </w:rPr>
  </w:style>
  <w:style w:type="table" w:styleId="TableGrid">
    <w:name w:val="Table Grid"/>
    <w:basedOn w:val="TableNormal"/>
    <w:rsid w:val="00B46C0A"/>
    <w:tblPr/>
  </w:style>
  <w:style w:type="paragraph" w:styleId="ListParagraph">
    <w:name w:val="List Paragraph"/>
    <w:basedOn w:val="Normal"/>
    <w:rsid w:val="00B46C0A"/>
    <w:pPr>
      <w:ind w:left="720"/>
      <w:contextualSpacing/>
    </w:pPr>
  </w:style>
  <w:style w:type="paragraph" w:customStyle="1" w:styleId="PolicyClause2">
    <w:name w:val="Policy Clause (2)"/>
    <w:locked/>
    <w:rsid w:val="00B46C0A"/>
    <w:pPr>
      <w:tabs>
        <w:tab w:val="right" w:pos="794"/>
      </w:tabs>
      <w:spacing w:before="180" w:line="260" w:lineRule="exact"/>
      <w:ind w:left="964" w:hanging="964"/>
    </w:pPr>
    <w:rPr>
      <w:sz w:val="21"/>
      <w:szCs w:val="22"/>
      <w:lang w:eastAsia="en-US"/>
    </w:rPr>
  </w:style>
  <w:style w:type="character" w:customStyle="1" w:styleId="pnp-greentitle">
    <w:name w:val="pnp-greentitle"/>
    <w:basedOn w:val="DefaultParagraphFont"/>
    <w:rsid w:val="00B20D4D"/>
  </w:style>
  <w:style w:type="character" w:styleId="CommentReference">
    <w:name w:val="annotation reference"/>
    <w:basedOn w:val="DefaultParagraphFont"/>
    <w:uiPriority w:val="99"/>
    <w:locked/>
    <w:rsid w:val="00F74081"/>
    <w:rPr>
      <w:sz w:val="18"/>
      <w:szCs w:val="18"/>
    </w:rPr>
  </w:style>
  <w:style w:type="paragraph" w:styleId="CommentText">
    <w:name w:val="annotation text"/>
    <w:basedOn w:val="Normal"/>
    <w:link w:val="CommentTextChar"/>
    <w:uiPriority w:val="99"/>
    <w:locked/>
    <w:rsid w:val="00F74081"/>
    <w:rPr>
      <w:sz w:val="24"/>
      <w:szCs w:val="24"/>
    </w:rPr>
  </w:style>
  <w:style w:type="character" w:customStyle="1" w:styleId="CommentTextChar">
    <w:name w:val="Comment Text Char"/>
    <w:basedOn w:val="DefaultParagraphFont"/>
    <w:link w:val="CommentText"/>
    <w:uiPriority w:val="99"/>
    <w:rsid w:val="00F74081"/>
    <w:rPr>
      <w:sz w:val="24"/>
      <w:szCs w:val="24"/>
    </w:rPr>
  </w:style>
  <w:style w:type="paragraph" w:styleId="CommentSubject">
    <w:name w:val="annotation subject"/>
    <w:basedOn w:val="CommentText"/>
    <w:next w:val="CommentText"/>
    <w:link w:val="CommentSubjectChar"/>
    <w:locked/>
    <w:rsid w:val="00F74081"/>
    <w:rPr>
      <w:b/>
      <w:bCs/>
      <w:sz w:val="20"/>
      <w:szCs w:val="20"/>
    </w:rPr>
  </w:style>
  <w:style w:type="character" w:customStyle="1" w:styleId="CommentSubjectChar">
    <w:name w:val="Comment Subject Char"/>
    <w:basedOn w:val="CommentTextChar"/>
    <w:link w:val="CommentSubject"/>
    <w:rsid w:val="00F74081"/>
    <w:rPr>
      <w:b/>
      <w:bCs/>
      <w:sz w:val="24"/>
      <w:szCs w:val="24"/>
    </w:rPr>
  </w:style>
  <w:style w:type="paragraph" w:styleId="NormalWeb">
    <w:name w:val="Normal (Web)"/>
    <w:basedOn w:val="Normal"/>
    <w:uiPriority w:val="99"/>
    <w:unhideWhenUsed/>
    <w:locked/>
    <w:rsid w:val="009474AE"/>
    <w:pPr>
      <w:spacing w:before="100" w:beforeAutospacing="1" w:after="100" w:afterAutospacing="1"/>
    </w:pPr>
    <w:rPr>
      <w:rFonts w:ascii="Times New Roman" w:hAnsi="Times New Roman"/>
      <w:sz w:val="24"/>
      <w:szCs w:val="24"/>
      <w:lang w:val="en-US" w:eastAsia="en-US"/>
    </w:rPr>
  </w:style>
  <w:style w:type="paragraph" w:styleId="Revision">
    <w:name w:val="Revision"/>
    <w:hidden/>
    <w:uiPriority w:val="99"/>
    <w:semiHidden/>
    <w:rsid w:val="00DB080E"/>
  </w:style>
  <w:style w:type="character" w:styleId="FollowedHyperlink">
    <w:name w:val="FollowedHyperlink"/>
    <w:basedOn w:val="DefaultParagraphFont"/>
    <w:locked/>
    <w:rsid w:val="002763C8"/>
    <w:rPr>
      <w:color w:val="800080" w:themeColor="followedHyperlink"/>
      <w:u w:val="single"/>
    </w:rPr>
  </w:style>
  <w:style w:type="character" w:customStyle="1" w:styleId="UnresolvedMention1">
    <w:name w:val="Unresolved Mention1"/>
    <w:basedOn w:val="DefaultParagraphFont"/>
    <w:uiPriority w:val="99"/>
    <w:semiHidden/>
    <w:unhideWhenUsed/>
    <w:rsid w:val="00D733DC"/>
    <w:rPr>
      <w:color w:val="605E5C"/>
      <w:shd w:val="clear" w:color="auto" w:fill="E1DFDD"/>
    </w:rPr>
  </w:style>
  <w:style w:type="character" w:customStyle="1" w:styleId="UnresolvedMention2">
    <w:name w:val="Unresolved Mention2"/>
    <w:basedOn w:val="DefaultParagraphFont"/>
    <w:uiPriority w:val="99"/>
    <w:semiHidden/>
    <w:unhideWhenUsed/>
    <w:rsid w:val="0042392B"/>
    <w:rPr>
      <w:color w:val="605E5C"/>
      <w:shd w:val="clear" w:color="auto" w:fill="E1DFDD"/>
    </w:rPr>
  </w:style>
  <w:style w:type="character" w:customStyle="1" w:styleId="frag-name">
    <w:name w:val="frag-name"/>
    <w:basedOn w:val="DefaultParagraphFont"/>
    <w:rsid w:val="0041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10081">
      <w:bodyDiv w:val="1"/>
      <w:marLeft w:val="0"/>
      <w:marRight w:val="0"/>
      <w:marTop w:val="0"/>
      <w:marBottom w:val="0"/>
      <w:divBdr>
        <w:top w:val="none" w:sz="0" w:space="0" w:color="auto"/>
        <w:left w:val="none" w:sz="0" w:space="0" w:color="auto"/>
        <w:bottom w:val="none" w:sz="0" w:space="0" w:color="auto"/>
        <w:right w:val="none" w:sz="0" w:space="0" w:color="auto"/>
      </w:divBdr>
      <w:divsChild>
        <w:div w:id="438646573">
          <w:marLeft w:val="0"/>
          <w:marRight w:val="0"/>
          <w:marTop w:val="0"/>
          <w:marBottom w:val="0"/>
          <w:divBdr>
            <w:top w:val="none" w:sz="0" w:space="0" w:color="auto"/>
            <w:left w:val="none" w:sz="0" w:space="0" w:color="auto"/>
            <w:bottom w:val="none" w:sz="0" w:space="0" w:color="auto"/>
            <w:right w:val="none" w:sz="0" w:space="0" w:color="auto"/>
          </w:divBdr>
          <w:divsChild>
            <w:div w:id="1734692890">
              <w:marLeft w:val="0"/>
              <w:marRight w:val="0"/>
              <w:marTop w:val="0"/>
              <w:marBottom w:val="0"/>
              <w:divBdr>
                <w:top w:val="none" w:sz="0" w:space="0" w:color="auto"/>
                <w:left w:val="none" w:sz="0" w:space="0" w:color="auto"/>
                <w:bottom w:val="none" w:sz="0" w:space="0" w:color="auto"/>
                <w:right w:val="none" w:sz="0" w:space="0" w:color="auto"/>
              </w:divBdr>
              <w:divsChild>
                <w:div w:id="813716432">
                  <w:marLeft w:val="0"/>
                  <w:marRight w:val="0"/>
                  <w:marTop w:val="0"/>
                  <w:marBottom w:val="0"/>
                  <w:divBdr>
                    <w:top w:val="none" w:sz="0" w:space="0" w:color="auto"/>
                    <w:left w:val="none" w:sz="0" w:space="0" w:color="auto"/>
                    <w:bottom w:val="none" w:sz="0" w:space="0" w:color="auto"/>
                    <w:right w:val="none" w:sz="0" w:space="0" w:color="auto"/>
                  </w:divBdr>
                  <w:divsChild>
                    <w:div w:id="1748989301">
                      <w:marLeft w:val="0"/>
                      <w:marRight w:val="0"/>
                      <w:marTop w:val="0"/>
                      <w:marBottom w:val="0"/>
                      <w:divBdr>
                        <w:top w:val="none" w:sz="0" w:space="0" w:color="auto"/>
                        <w:left w:val="none" w:sz="0" w:space="0" w:color="auto"/>
                        <w:bottom w:val="none" w:sz="0" w:space="0" w:color="auto"/>
                        <w:right w:val="none" w:sz="0" w:space="0" w:color="auto"/>
                      </w:divBdr>
                      <w:divsChild>
                        <w:div w:id="2041587177">
                          <w:marLeft w:val="0"/>
                          <w:marRight w:val="0"/>
                          <w:marTop w:val="0"/>
                          <w:marBottom w:val="0"/>
                          <w:divBdr>
                            <w:top w:val="none" w:sz="0" w:space="0" w:color="auto"/>
                            <w:left w:val="none" w:sz="0" w:space="0" w:color="auto"/>
                            <w:bottom w:val="none" w:sz="0" w:space="0" w:color="auto"/>
                            <w:right w:val="none" w:sz="0" w:space="0" w:color="auto"/>
                          </w:divBdr>
                          <w:divsChild>
                            <w:div w:id="584918776">
                              <w:marLeft w:val="0"/>
                              <w:marRight w:val="0"/>
                              <w:marTop w:val="0"/>
                              <w:marBottom w:val="0"/>
                              <w:divBdr>
                                <w:top w:val="none" w:sz="0" w:space="0" w:color="auto"/>
                                <w:left w:val="none" w:sz="0" w:space="0" w:color="auto"/>
                                <w:bottom w:val="none" w:sz="0" w:space="0" w:color="auto"/>
                                <w:right w:val="none" w:sz="0" w:space="0" w:color="auto"/>
                              </w:divBdr>
                              <w:divsChild>
                                <w:div w:id="1698047820">
                                  <w:marLeft w:val="0"/>
                                  <w:marRight w:val="0"/>
                                  <w:marTop w:val="0"/>
                                  <w:marBottom w:val="0"/>
                                  <w:divBdr>
                                    <w:top w:val="none" w:sz="0" w:space="0" w:color="auto"/>
                                    <w:left w:val="none" w:sz="0" w:space="0" w:color="auto"/>
                                    <w:bottom w:val="none" w:sz="0" w:space="0" w:color="auto"/>
                                    <w:right w:val="none" w:sz="0" w:space="0" w:color="auto"/>
                                  </w:divBdr>
                                  <w:divsChild>
                                    <w:div w:id="1440679028">
                                      <w:marLeft w:val="0"/>
                                      <w:marRight w:val="0"/>
                                      <w:marTop w:val="0"/>
                                      <w:marBottom w:val="0"/>
                                      <w:divBdr>
                                        <w:top w:val="none" w:sz="0" w:space="0" w:color="auto"/>
                                        <w:left w:val="none" w:sz="0" w:space="0" w:color="auto"/>
                                        <w:bottom w:val="none" w:sz="0" w:space="0" w:color="auto"/>
                                        <w:right w:val="none" w:sz="0" w:space="0" w:color="auto"/>
                                      </w:divBdr>
                                      <w:divsChild>
                                        <w:div w:id="1717050289">
                                          <w:marLeft w:val="0"/>
                                          <w:marRight w:val="0"/>
                                          <w:marTop w:val="0"/>
                                          <w:marBottom w:val="0"/>
                                          <w:divBdr>
                                            <w:top w:val="none" w:sz="0" w:space="0" w:color="auto"/>
                                            <w:left w:val="none" w:sz="0" w:space="0" w:color="auto"/>
                                            <w:bottom w:val="none" w:sz="0" w:space="0" w:color="auto"/>
                                            <w:right w:val="none" w:sz="0" w:space="0" w:color="auto"/>
                                          </w:divBdr>
                                          <w:divsChild>
                                            <w:div w:id="551892461">
                                              <w:marLeft w:val="0"/>
                                              <w:marRight w:val="0"/>
                                              <w:marTop w:val="0"/>
                                              <w:marBottom w:val="0"/>
                                              <w:divBdr>
                                                <w:top w:val="none" w:sz="0" w:space="0" w:color="auto"/>
                                                <w:left w:val="none" w:sz="0" w:space="0" w:color="auto"/>
                                                <w:bottom w:val="none" w:sz="0" w:space="0" w:color="auto"/>
                                                <w:right w:val="none" w:sz="0" w:space="0" w:color="auto"/>
                                              </w:divBdr>
                                              <w:divsChild>
                                                <w:div w:id="1354306188">
                                                  <w:marLeft w:val="0"/>
                                                  <w:marRight w:val="0"/>
                                                  <w:marTop w:val="0"/>
                                                  <w:marBottom w:val="0"/>
                                                  <w:divBdr>
                                                    <w:top w:val="none" w:sz="0" w:space="0" w:color="auto"/>
                                                    <w:left w:val="none" w:sz="0" w:space="0" w:color="auto"/>
                                                    <w:bottom w:val="none" w:sz="0" w:space="0" w:color="auto"/>
                                                    <w:right w:val="none" w:sz="0" w:space="0" w:color="auto"/>
                                                  </w:divBdr>
                                                  <w:divsChild>
                                                    <w:div w:id="226041023">
                                                      <w:marLeft w:val="0"/>
                                                      <w:marRight w:val="0"/>
                                                      <w:marTop w:val="0"/>
                                                      <w:marBottom w:val="0"/>
                                                      <w:divBdr>
                                                        <w:top w:val="none" w:sz="0" w:space="0" w:color="auto"/>
                                                        <w:left w:val="none" w:sz="0" w:space="0" w:color="auto"/>
                                                        <w:bottom w:val="none" w:sz="0" w:space="0" w:color="auto"/>
                                                        <w:right w:val="none" w:sz="0" w:space="0" w:color="auto"/>
                                                      </w:divBdr>
                                                      <w:divsChild>
                                                        <w:div w:id="10493921">
                                                          <w:marLeft w:val="0"/>
                                                          <w:marRight w:val="0"/>
                                                          <w:marTop w:val="0"/>
                                                          <w:marBottom w:val="0"/>
                                                          <w:divBdr>
                                                            <w:top w:val="none" w:sz="0" w:space="0" w:color="auto"/>
                                                            <w:left w:val="none" w:sz="0" w:space="0" w:color="auto"/>
                                                            <w:bottom w:val="none" w:sz="0" w:space="0" w:color="auto"/>
                                                            <w:right w:val="none" w:sz="0" w:space="0" w:color="auto"/>
                                                          </w:divBdr>
                                                          <w:divsChild>
                                                            <w:div w:id="1759407175">
                                                              <w:marLeft w:val="0"/>
                                                              <w:marRight w:val="0"/>
                                                              <w:marTop w:val="0"/>
                                                              <w:marBottom w:val="0"/>
                                                              <w:divBdr>
                                                                <w:top w:val="none" w:sz="0" w:space="0" w:color="auto"/>
                                                                <w:left w:val="none" w:sz="0" w:space="0" w:color="auto"/>
                                                                <w:bottom w:val="none" w:sz="0" w:space="0" w:color="auto"/>
                                                                <w:right w:val="none" w:sz="0" w:space="0" w:color="auto"/>
                                                              </w:divBdr>
                                                              <w:divsChild>
                                                                <w:div w:id="1056392480">
                                                                  <w:marLeft w:val="0"/>
                                                                  <w:marRight w:val="0"/>
                                                                  <w:marTop w:val="0"/>
                                                                  <w:marBottom w:val="0"/>
                                                                  <w:divBdr>
                                                                    <w:top w:val="none" w:sz="0" w:space="0" w:color="auto"/>
                                                                    <w:left w:val="none" w:sz="0" w:space="0" w:color="auto"/>
                                                                    <w:bottom w:val="none" w:sz="0" w:space="0" w:color="auto"/>
                                                                    <w:right w:val="none" w:sz="0" w:space="0" w:color="auto"/>
                                                                  </w:divBdr>
                                                                  <w:divsChild>
                                                                    <w:div w:id="1665695691">
                                                                      <w:marLeft w:val="0"/>
                                                                      <w:marRight w:val="0"/>
                                                                      <w:marTop w:val="0"/>
                                                                      <w:marBottom w:val="0"/>
                                                                      <w:divBdr>
                                                                        <w:top w:val="none" w:sz="0" w:space="0" w:color="auto"/>
                                                                        <w:left w:val="none" w:sz="0" w:space="0" w:color="auto"/>
                                                                        <w:bottom w:val="none" w:sz="0" w:space="0" w:color="auto"/>
                                                                        <w:right w:val="none" w:sz="0" w:space="0" w:color="auto"/>
                                                                      </w:divBdr>
                                                                      <w:divsChild>
                                                                        <w:div w:id="1496260129">
                                                                          <w:marLeft w:val="0"/>
                                                                          <w:marRight w:val="0"/>
                                                                          <w:marTop w:val="0"/>
                                                                          <w:marBottom w:val="0"/>
                                                                          <w:divBdr>
                                                                            <w:top w:val="none" w:sz="0" w:space="0" w:color="auto"/>
                                                                            <w:left w:val="none" w:sz="0" w:space="0" w:color="auto"/>
                                                                            <w:bottom w:val="none" w:sz="0" w:space="0" w:color="auto"/>
                                                                            <w:right w:val="none" w:sz="0" w:space="0" w:color="auto"/>
                                                                          </w:divBdr>
                                                                          <w:divsChild>
                                                                            <w:div w:id="12318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7L01182" TargetMode="External"/><Relationship Id="rId13" Type="http://schemas.openxmlformats.org/officeDocument/2006/relationships/hyperlink" Target="https://legislation.nsw.gov.au/view/html/inforce/current/act-2019-0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dney.edu.au/policies/showdoc.aspx?recnum=PDOC2016/421&amp;RendNum=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dney.edu.au/policies/showdoc.aspx?recnum=PDOC2016/421&amp;RendNum=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dney.edu.au/policies/showdoc.aspx?recnum=PDOC2016/421&amp;RendNum=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dney.edu.au/policies/showdoc.aspx?recnum=PDOC2011/72&amp;RendNum=0" TargetMode="External"/><Relationship Id="rId14" Type="http://schemas.openxmlformats.org/officeDocument/2006/relationships/hyperlink" Target="https://legislation.nsw.gov.au/view/html/inforce/current/act-2019-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4DF9-22E3-48CB-93DB-42717642C2F5}">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5</TotalTime>
  <Pages>10</Pages>
  <Words>2510</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 18 International Students Policy 2016</vt:lpstr>
    </vt:vector>
  </TitlesOfParts>
  <Company>University of Sydney</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18 International Students Policy 2016</dc:title>
  <dc:subject>Under 18 International Students Policy 216</dc:subject>
  <dc:creator>Policy Register</dc:creator>
  <cp:lastModifiedBy>Rachel Symons</cp:lastModifiedBy>
  <cp:revision>3</cp:revision>
  <cp:lastPrinted>2021-06-15T05:02:00Z</cp:lastPrinted>
  <dcterms:created xsi:type="dcterms:W3CDTF">2024-05-01T03:18:00Z</dcterms:created>
  <dcterms:modified xsi:type="dcterms:W3CDTF">2024-05-01T03:30:00Z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24209/813836_1</vt:lpwstr>
  </property>
</Properties>
</file>