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7723" w14:textId="20A325A4" w:rsidR="00E57E69" w:rsidRDefault="00FE0E40" w:rsidP="00E57E69">
      <w:pPr>
        <w:pStyle w:val="Heading1"/>
      </w:pPr>
      <w:r w:rsidRPr="00FE0E40">
        <w:t xml:space="preserve">PRIVACY PROCEDURES </w:t>
      </w:r>
      <w:r w:rsidR="00C20B58">
        <w:t>2023</w:t>
      </w:r>
    </w:p>
    <w:p w14:paraId="319F6A42" w14:textId="77777777" w:rsidR="00FE0E40" w:rsidRDefault="00FE0E40" w:rsidP="007B37F6">
      <w:pPr>
        <w:tabs>
          <w:tab w:val="left" w:pos="2127"/>
        </w:tabs>
        <w:ind w:left="2127" w:hanging="2127"/>
      </w:pPr>
    </w:p>
    <w:p w14:paraId="4BBC3912" w14:textId="0E4E5EF8" w:rsidR="00E57E69" w:rsidRDefault="007B37F6" w:rsidP="007B37F6">
      <w:pPr>
        <w:tabs>
          <w:tab w:val="left" w:pos="2127"/>
        </w:tabs>
        <w:ind w:left="2127" w:hanging="2127"/>
      </w:pPr>
      <w:r>
        <w:t>Issued by:</w:t>
      </w:r>
      <w:r>
        <w:tab/>
      </w:r>
      <w:r w:rsidR="00FE0E40" w:rsidRPr="00FE0E40">
        <w:t>General Counsel</w:t>
      </w:r>
    </w:p>
    <w:p w14:paraId="6F9E1447" w14:textId="04F3C3C4" w:rsidR="00966E96" w:rsidRDefault="00966E96" w:rsidP="007B37F6">
      <w:pPr>
        <w:tabs>
          <w:tab w:val="left" w:pos="2127"/>
        </w:tabs>
        <w:ind w:left="2127" w:hanging="2127"/>
      </w:pPr>
      <w:r>
        <w:t>Current approver:</w:t>
      </w:r>
      <w:r>
        <w:tab/>
        <w:t>General Counsel</w:t>
      </w:r>
    </w:p>
    <w:p w14:paraId="0EE6523E" w14:textId="6874B7FB" w:rsidR="00E57E69" w:rsidRDefault="00E57E69" w:rsidP="00517FA8">
      <w:pPr>
        <w:pStyle w:val="NormalAdministrativeNotes"/>
      </w:pPr>
      <w:r>
        <w:t>Dated:</w:t>
      </w:r>
      <w:r w:rsidR="00895009">
        <w:tab/>
      </w:r>
      <w:r w:rsidR="00BD2129">
        <w:t>20 December 2023</w:t>
      </w:r>
    </w:p>
    <w:p w14:paraId="412E25ED" w14:textId="4608F05F" w:rsidR="00480197" w:rsidRDefault="00480197" w:rsidP="00517FA8">
      <w:pPr>
        <w:pStyle w:val="NormalAdministrativeNotes"/>
      </w:pPr>
      <w:r>
        <w:t>Current policy approver:</w:t>
      </w:r>
      <w:r>
        <w:tab/>
        <w:t>Chief Governance Officer</w:t>
      </w:r>
    </w:p>
    <w:p w14:paraId="369AFFEA" w14:textId="77777777" w:rsidR="00E57E69" w:rsidRDefault="00155112" w:rsidP="00013550">
      <w:pPr>
        <w:tabs>
          <w:tab w:val="left" w:leader="underscore" w:pos="7938"/>
        </w:tabs>
      </w:pPr>
      <w:r>
        <w:tab/>
      </w:r>
    </w:p>
    <w:p w14:paraId="735885C0" w14:textId="77777777" w:rsidR="00E57E69" w:rsidRPr="00155112" w:rsidRDefault="00155112" w:rsidP="00013550">
      <w:pPr>
        <w:pStyle w:val="Heading4"/>
      </w:pPr>
      <w:bookmarkStart w:id="0" w:name="_Toc443380762"/>
      <w:r>
        <w:t>1</w:t>
      </w:r>
      <w:r>
        <w:tab/>
      </w:r>
      <w:bookmarkEnd w:id="0"/>
      <w:r w:rsidR="00AE6B07">
        <w:t>Purpose and application</w:t>
      </w:r>
    </w:p>
    <w:p w14:paraId="6ADB1204" w14:textId="77777777" w:rsidR="005E5660" w:rsidRDefault="00FE0E40" w:rsidP="00FE0E40">
      <w:pPr>
        <w:pStyle w:val="NumberedFirstLevel"/>
      </w:pPr>
      <w:bookmarkStart w:id="1" w:name="_Toc443380763"/>
      <w:r w:rsidRPr="00FE0E40">
        <w:t>These procedures</w:t>
      </w:r>
      <w:r w:rsidR="005E5660">
        <w:t>:</w:t>
      </w:r>
    </w:p>
    <w:p w14:paraId="26101D79" w14:textId="4DFD3B91" w:rsidR="00AE6B07" w:rsidRDefault="00FE0E40" w:rsidP="005E5660">
      <w:pPr>
        <w:pStyle w:val="NumberedSecondLevel"/>
      </w:pPr>
      <w:r w:rsidRPr="00FE0E40">
        <w:t xml:space="preserve">are to give effect to the </w:t>
      </w:r>
      <w:hyperlink r:id="rId8" w:history="1">
        <w:r w:rsidRPr="00F1027A">
          <w:rPr>
            <w:rStyle w:val="Hyperlink"/>
            <w:i/>
          </w:rPr>
          <w:t>Privacy Policy 2017</w:t>
        </w:r>
      </w:hyperlink>
      <w:r w:rsidRPr="00FE0E40">
        <w:t xml:space="preserve"> (“the policy”)</w:t>
      </w:r>
      <w:r w:rsidR="005E5660">
        <w:t>;</w:t>
      </w:r>
    </w:p>
    <w:p w14:paraId="382FA99A" w14:textId="09B652EC" w:rsidR="005E5660" w:rsidRDefault="005E5660" w:rsidP="005E5660">
      <w:pPr>
        <w:pStyle w:val="NumberedSecondLevel"/>
      </w:pPr>
      <w:r>
        <w:t>deal with the disclosure of personal information to external parties; and</w:t>
      </w:r>
    </w:p>
    <w:p w14:paraId="6F050306" w14:textId="436F766C" w:rsidR="0066671B" w:rsidRDefault="005E5660" w:rsidP="005E5660">
      <w:pPr>
        <w:pStyle w:val="NumberedSecondLevel"/>
      </w:pPr>
      <w:r w:rsidRPr="00AE6B07">
        <w:t>apply to</w:t>
      </w:r>
      <w:r>
        <w:t xml:space="preserve"> the University, staff, students and affiliates.</w:t>
      </w:r>
    </w:p>
    <w:p w14:paraId="024330B3" w14:textId="393F66E4" w:rsidR="0066671B" w:rsidRDefault="0066671B" w:rsidP="0066671B">
      <w:pPr>
        <w:pStyle w:val="NumberedFirstLevel"/>
      </w:pPr>
      <w:r>
        <w:t>These procedures do not apply to:</w:t>
      </w:r>
    </w:p>
    <w:p w14:paraId="66B0039D" w14:textId="537861AE" w:rsidR="0066671B" w:rsidRDefault="0066671B" w:rsidP="0066671B">
      <w:pPr>
        <w:pStyle w:val="NumberedSecondLevel"/>
      </w:pPr>
      <w:r>
        <w:t xml:space="preserve">requests for information made under the </w:t>
      </w:r>
      <w:hyperlink r:id="rId9" w:anchor="/view/act/2009/52" w:history="1">
        <w:r w:rsidRPr="0066671B">
          <w:rPr>
            <w:rStyle w:val="Hyperlink"/>
            <w:i/>
          </w:rPr>
          <w:t>Government Information (Public Access) Act 2009 (NSW)</w:t>
        </w:r>
      </w:hyperlink>
      <w:r>
        <w:t xml:space="preserve">; or </w:t>
      </w:r>
    </w:p>
    <w:p w14:paraId="09878DE9" w14:textId="261EE760" w:rsidR="0066671B" w:rsidRDefault="0066671B" w:rsidP="0066671B">
      <w:pPr>
        <w:pStyle w:val="NumberedSecondLevel"/>
      </w:pPr>
      <w:r>
        <w:t xml:space="preserve">applications to access information under the </w:t>
      </w:r>
      <w:hyperlink r:id="rId10" w:anchor="/view/act/1998/133" w:history="1">
        <w:r w:rsidRPr="0066671B">
          <w:rPr>
            <w:rStyle w:val="Hyperlink"/>
            <w:i/>
          </w:rPr>
          <w:t xml:space="preserve">Privacy and Personal Information Act </w:t>
        </w:r>
        <w:r w:rsidR="003A3D9F" w:rsidRPr="0066671B">
          <w:rPr>
            <w:rStyle w:val="Hyperlink"/>
            <w:i/>
          </w:rPr>
          <w:t>19</w:t>
        </w:r>
        <w:r w:rsidR="003A3D9F">
          <w:rPr>
            <w:rStyle w:val="Hyperlink"/>
            <w:i/>
          </w:rPr>
          <w:t>9</w:t>
        </w:r>
        <w:r w:rsidR="003A3D9F" w:rsidRPr="0066671B">
          <w:rPr>
            <w:rStyle w:val="Hyperlink"/>
            <w:i/>
          </w:rPr>
          <w:t xml:space="preserve">8 </w:t>
        </w:r>
        <w:r w:rsidRPr="0066671B">
          <w:rPr>
            <w:rStyle w:val="Hyperlink"/>
            <w:i/>
          </w:rPr>
          <w:t>(NSW)</w:t>
        </w:r>
      </w:hyperlink>
      <w:r>
        <w:t>.</w:t>
      </w:r>
    </w:p>
    <w:p w14:paraId="631A0284" w14:textId="5EBC17A1" w:rsidR="004F79E0" w:rsidRDefault="00E75CE9" w:rsidP="00115EE9">
      <w:pPr>
        <w:pStyle w:val="NumberedFirstLevel"/>
      </w:pPr>
      <w:r>
        <w:t>T</w:t>
      </w:r>
      <w:r w:rsidRPr="00E75CE9">
        <w:t xml:space="preserve">he </w:t>
      </w:r>
      <w:hyperlink r:id="rId11" w:history="1">
        <w:r w:rsidRPr="00BD2129">
          <w:rPr>
            <w:rStyle w:val="Hyperlink"/>
            <w:i/>
            <w:iCs/>
          </w:rPr>
          <w:t>Data Breach Policy 2023</w:t>
        </w:r>
      </w:hyperlink>
      <w:r>
        <w:t xml:space="preserve"> </w:t>
      </w:r>
      <w:r w:rsidR="0019351E">
        <w:t>specifies</w:t>
      </w:r>
      <w:r w:rsidR="00446C1C">
        <w:t xml:space="preserve"> </w:t>
      </w:r>
      <w:bookmarkStart w:id="2" w:name="_Hlk153181411"/>
      <w:r w:rsidR="00115EE9">
        <w:t xml:space="preserve">the process for </w:t>
      </w:r>
      <w:r w:rsidR="00446C1C">
        <w:t>managing</w:t>
      </w:r>
      <w:r w:rsidR="00894016">
        <w:t xml:space="preserve"> </w:t>
      </w:r>
      <w:r w:rsidR="00BA32E9">
        <w:t>an eligible data</w:t>
      </w:r>
      <w:r w:rsidR="00894016">
        <w:t xml:space="preserve"> breach involving personal or health information held by the University</w:t>
      </w:r>
      <w:bookmarkEnd w:id="2"/>
      <w:r w:rsidR="005E5660">
        <w:t>.</w:t>
      </w:r>
    </w:p>
    <w:p w14:paraId="2C75097C" w14:textId="641F7D7F" w:rsidR="00E57E69" w:rsidRDefault="00155112" w:rsidP="0066671B">
      <w:pPr>
        <w:pStyle w:val="Heading4"/>
      </w:pPr>
      <w:r>
        <w:t>2</w:t>
      </w:r>
      <w:r>
        <w:tab/>
      </w:r>
      <w:r w:rsidR="00E57E69">
        <w:t>Commencement</w:t>
      </w:r>
      <w:bookmarkEnd w:id="1"/>
    </w:p>
    <w:p w14:paraId="20F9B071" w14:textId="4A626BD4" w:rsidR="00E57E69" w:rsidRPr="00013550" w:rsidRDefault="00AE6B07" w:rsidP="00013550">
      <w:r>
        <w:t xml:space="preserve">These procedures </w:t>
      </w:r>
      <w:r w:rsidR="00895009">
        <w:t xml:space="preserve">commence on </w:t>
      </w:r>
      <w:r w:rsidR="00A611ED">
        <w:t>11</w:t>
      </w:r>
      <w:r w:rsidR="00C73423">
        <w:t xml:space="preserve"> December 2023</w:t>
      </w:r>
      <w:r w:rsidR="00FE0E40">
        <w:t>.</w:t>
      </w:r>
    </w:p>
    <w:p w14:paraId="25F2A316" w14:textId="77777777" w:rsidR="00E57E69" w:rsidRDefault="00155112" w:rsidP="00013550">
      <w:pPr>
        <w:pStyle w:val="Heading4"/>
      </w:pPr>
      <w:bookmarkStart w:id="3" w:name="_Toc443380764"/>
      <w:r>
        <w:t>3</w:t>
      </w:r>
      <w:r>
        <w:tab/>
      </w:r>
      <w:bookmarkEnd w:id="3"/>
      <w:r w:rsidR="001A7370">
        <w:t>Interpretation</w:t>
      </w:r>
    </w:p>
    <w:p w14:paraId="0DF63162" w14:textId="5243DB9A" w:rsidR="00F3010A" w:rsidRDefault="001A7370" w:rsidP="00F3010A">
      <w:pPr>
        <w:pStyle w:val="NumberedFirstLevel"/>
        <w:widowControl w:val="0"/>
        <w:numPr>
          <w:ilvl w:val="1"/>
          <w:numId w:val="15"/>
        </w:numPr>
      </w:pPr>
      <w:bookmarkStart w:id="4" w:name="_Toc443380765"/>
      <w:r w:rsidRPr="001A7370">
        <w:t>Words and phrases used in these procedures and not otherwise defined in this document have the meanings they have in the policy.</w:t>
      </w:r>
    </w:p>
    <w:p w14:paraId="104C8A93" w14:textId="77777777" w:rsidR="00F3010A" w:rsidRDefault="00F3010A" w:rsidP="00F3010A">
      <w:pPr>
        <w:pStyle w:val="NumberedFirstLevel"/>
        <w:widowControl w:val="0"/>
        <w:numPr>
          <w:ilvl w:val="0"/>
          <w:numId w:val="0"/>
        </w:numPr>
        <w:ind w:left="567"/>
      </w:pPr>
    </w:p>
    <w:tbl>
      <w:tblPr>
        <w:tblW w:w="0" w:type="auto"/>
        <w:tblLook w:val="00A0" w:firstRow="1" w:lastRow="0" w:firstColumn="1" w:lastColumn="0" w:noHBand="0" w:noVBand="0"/>
      </w:tblPr>
      <w:tblGrid>
        <w:gridCol w:w="1789"/>
        <w:gridCol w:w="6147"/>
      </w:tblGrid>
      <w:tr w:rsidR="00B501AD" w14:paraId="4B558815" w14:textId="77777777" w:rsidTr="007735C0">
        <w:trPr>
          <w:cantSplit/>
        </w:trPr>
        <w:tc>
          <w:tcPr>
            <w:tcW w:w="1789" w:type="dxa"/>
          </w:tcPr>
          <w:p w14:paraId="0889CD0D" w14:textId="77777777" w:rsidR="00B501AD" w:rsidRPr="00013550" w:rsidRDefault="00B501AD" w:rsidP="00F3010A">
            <w:pPr>
              <w:widowControl w:val="0"/>
              <w:rPr>
                <w:b/>
              </w:rPr>
            </w:pPr>
            <w:r>
              <w:rPr>
                <w:b/>
              </w:rPr>
              <w:t>consent</w:t>
            </w:r>
          </w:p>
        </w:tc>
        <w:tc>
          <w:tcPr>
            <w:tcW w:w="6147" w:type="dxa"/>
          </w:tcPr>
          <w:p w14:paraId="298C2C76" w14:textId="77777777" w:rsidR="0067628A" w:rsidRDefault="00B501AD" w:rsidP="00F3010A">
            <w:pPr>
              <w:widowControl w:val="0"/>
              <w:spacing w:after="0"/>
            </w:pPr>
            <w:r w:rsidRPr="005F1996">
              <w:t xml:space="preserve">means </w:t>
            </w:r>
            <w:r>
              <w:t xml:space="preserve">agreement, </w:t>
            </w:r>
            <w:r w:rsidR="0067628A">
              <w:t>which is:</w:t>
            </w:r>
          </w:p>
          <w:p w14:paraId="2E8ED773" w14:textId="5B42BF83" w:rsidR="000C2B20" w:rsidRPr="00BD2129" w:rsidRDefault="0067628A" w:rsidP="00BD2129">
            <w:pPr>
              <w:pStyle w:val="NormalDotPoint"/>
            </w:pPr>
            <w:r w:rsidRPr="00BD2129">
              <w:t xml:space="preserve">given </w:t>
            </w:r>
            <w:r w:rsidR="00B501AD" w:rsidRPr="00BD2129">
              <w:t xml:space="preserve">by an individual who has the capacity to understand and communicate </w:t>
            </w:r>
            <w:r w:rsidRPr="00BD2129">
              <w:t>it;</w:t>
            </w:r>
            <w:r w:rsidRPr="00BD2129" w:rsidDel="0067628A">
              <w:t xml:space="preserve"> </w:t>
            </w:r>
          </w:p>
          <w:p w14:paraId="6C9DE990" w14:textId="2AB9EACB" w:rsidR="00B501AD" w:rsidRPr="00BD2129" w:rsidRDefault="0067628A" w:rsidP="00BD2129">
            <w:pPr>
              <w:pStyle w:val="NormalDotPoint"/>
            </w:pPr>
            <w:r w:rsidRPr="00BD2129">
              <w:t>v</w:t>
            </w:r>
            <w:r w:rsidR="00B501AD" w:rsidRPr="00BD2129">
              <w:t>oluntary</w:t>
            </w:r>
            <w:r w:rsidRPr="00BD2129">
              <w:t>;</w:t>
            </w:r>
          </w:p>
          <w:p w14:paraId="0116237E" w14:textId="77777777" w:rsidR="00B501AD" w:rsidRPr="00BD2129" w:rsidRDefault="00B501AD" w:rsidP="00BD2129">
            <w:pPr>
              <w:pStyle w:val="NormalDotPoint"/>
            </w:pPr>
            <w:r w:rsidRPr="00BD2129">
              <w:t>informed</w:t>
            </w:r>
            <w:r w:rsidR="0067628A" w:rsidRPr="00BD2129">
              <w:t>;</w:t>
            </w:r>
          </w:p>
          <w:p w14:paraId="495C4043" w14:textId="77777777" w:rsidR="00B501AD" w:rsidRPr="00BD2129" w:rsidRDefault="00B501AD" w:rsidP="00BD2129">
            <w:pPr>
              <w:pStyle w:val="NormalDotPoint"/>
            </w:pPr>
            <w:r w:rsidRPr="00BD2129">
              <w:t>specific</w:t>
            </w:r>
            <w:r w:rsidR="0067628A" w:rsidRPr="00BD2129">
              <w:t>;</w:t>
            </w:r>
            <w:r w:rsidRPr="00BD2129">
              <w:t xml:space="preserve"> and</w:t>
            </w:r>
          </w:p>
          <w:p w14:paraId="731A199D" w14:textId="77777777" w:rsidR="00B501AD" w:rsidRPr="005F1996" w:rsidRDefault="00B501AD" w:rsidP="00BD2129">
            <w:pPr>
              <w:pStyle w:val="NormalDotPoint"/>
            </w:pPr>
            <w:r w:rsidRPr="00BD2129">
              <w:t>current.</w:t>
            </w:r>
          </w:p>
        </w:tc>
      </w:tr>
      <w:tr w:rsidR="00B501AD" w14:paraId="388C7E08" w14:textId="77777777" w:rsidTr="007735C0">
        <w:trPr>
          <w:cantSplit/>
        </w:trPr>
        <w:tc>
          <w:tcPr>
            <w:tcW w:w="1789" w:type="dxa"/>
          </w:tcPr>
          <w:p w14:paraId="2B5264C6" w14:textId="6526E684" w:rsidR="00B501AD" w:rsidRDefault="00B501AD" w:rsidP="00F3010A">
            <w:pPr>
              <w:widowControl w:val="0"/>
              <w:rPr>
                <w:b/>
              </w:rPr>
            </w:pPr>
            <w:r>
              <w:rPr>
                <w:b/>
              </w:rPr>
              <w:lastRenderedPageBreak/>
              <w:t>disclosure</w:t>
            </w:r>
          </w:p>
        </w:tc>
        <w:tc>
          <w:tcPr>
            <w:tcW w:w="6147" w:type="dxa"/>
          </w:tcPr>
          <w:p w14:paraId="12F0BCED" w14:textId="7E6E3534" w:rsidR="00B501AD" w:rsidRPr="005F1996" w:rsidRDefault="00B501AD" w:rsidP="00F3010A">
            <w:pPr>
              <w:widowControl w:val="0"/>
            </w:pPr>
            <w:r>
              <w:t>means providing an individual’s personal information to another person or entity</w:t>
            </w:r>
            <w:r w:rsidR="0067628A">
              <w:t>, g</w:t>
            </w:r>
            <w:r>
              <w:t>enerally</w:t>
            </w:r>
            <w:r w:rsidR="0067628A">
              <w:t xml:space="preserve"> </w:t>
            </w:r>
            <w:r>
              <w:t>a person or entity outside of the University.</w:t>
            </w:r>
          </w:p>
        </w:tc>
      </w:tr>
      <w:tr w:rsidR="00B501AD" w14:paraId="670B446C" w14:textId="77777777" w:rsidTr="007735C0">
        <w:trPr>
          <w:cantSplit/>
        </w:trPr>
        <w:tc>
          <w:tcPr>
            <w:tcW w:w="1789" w:type="dxa"/>
          </w:tcPr>
          <w:p w14:paraId="00CBB9A6" w14:textId="525526D9" w:rsidR="00B501AD" w:rsidRPr="00013550" w:rsidRDefault="00B501AD" w:rsidP="00F3010A">
            <w:pPr>
              <w:widowControl w:val="0"/>
              <w:rPr>
                <w:b/>
              </w:rPr>
            </w:pPr>
            <w:r>
              <w:rPr>
                <w:b/>
              </w:rPr>
              <w:t>express consent</w:t>
            </w:r>
          </w:p>
        </w:tc>
        <w:tc>
          <w:tcPr>
            <w:tcW w:w="6147" w:type="dxa"/>
          </w:tcPr>
          <w:p w14:paraId="229DC663" w14:textId="77777777" w:rsidR="0067628A" w:rsidRDefault="00B501AD" w:rsidP="00F3010A">
            <w:pPr>
              <w:widowControl w:val="0"/>
            </w:pPr>
            <w:r w:rsidRPr="005F1996">
              <w:t xml:space="preserve">means </w:t>
            </w:r>
            <w:r w:rsidRPr="00554562">
              <w:t>consent that is</w:t>
            </w:r>
            <w:r w:rsidR="0067628A">
              <w:t>:</w:t>
            </w:r>
            <w:r w:rsidRPr="00554562">
              <w:t xml:space="preserve"> </w:t>
            </w:r>
          </w:p>
          <w:p w14:paraId="19D07678" w14:textId="64FBF863" w:rsidR="0067628A" w:rsidRDefault="00B501AD" w:rsidP="00F3010A">
            <w:pPr>
              <w:pStyle w:val="NormalDotPoint"/>
              <w:widowControl w:val="0"/>
            </w:pPr>
            <w:r w:rsidRPr="00554562">
              <w:t>clearly and unmistakably communicated</w:t>
            </w:r>
            <w:r w:rsidR="0067628A">
              <w:t>;</w:t>
            </w:r>
            <w:r w:rsidRPr="00554562">
              <w:t xml:space="preserve"> </w:t>
            </w:r>
          </w:p>
          <w:p w14:paraId="6D5DA8E7" w14:textId="62D60AD4" w:rsidR="0067628A" w:rsidRDefault="00B501AD" w:rsidP="00F3010A">
            <w:pPr>
              <w:pStyle w:val="NormalDotPoint"/>
              <w:widowControl w:val="0"/>
            </w:pPr>
            <w:r w:rsidRPr="00554562">
              <w:t xml:space="preserve">precise </w:t>
            </w:r>
            <w:r w:rsidR="0067628A">
              <w:t>about</w:t>
            </w:r>
            <w:r w:rsidRPr="00554562">
              <w:t xml:space="preserve"> the kind and, if possible, exact contents of the information to which </w:t>
            </w:r>
            <w:r w:rsidR="0067628A">
              <w:t>it</w:t>
            </w:r>
            <w:r w:rsidRPr="00554562">
              <w:t xml:space="preserve"> relates</w:t>
            </w:r>
            <w:r w:rsidR="0067628A">
              <w:t>;</w:t>
            </w:r>
            <w:r w:rsidRPr="00554562">
              <w:t xml:space="preserve"> and </w:t>
            </w:r>
          </w:p>
          <w:p w14:paraId="3D259D2B" w14:textId="486A4E0B" w:rsidR="00B501AD" w:rsidRPr="005F1996" w:rsidRDefault="00B501AD" w:rsidP="00F3010A">
            <w:pPr>
              <w:pStyle w:val="NormalDotPoint"/>
              <w:widowControl w:val="0"/>
            </w:pPr>
            <w:r w:rsidRPr="00554562">
              <w:t xml:space="preserve">precise </w:t>
            </w:r>
            <w:r w:rsidR="0067628A">
              <w:t>about to</w:t>
            </w:r>
            <w:r w:rsidRPr="00554562">
              <w:t xml:space="preserve"> whom the information may be</w:t>
            </w:r>
            <w:r>
              <w:t xml:space="preserve"> disclosed.</w:t>
            </w:r>
            <w:r w:rsidR="0067628A">
              <w:br/>
            </w:r>
          </w:p>
        </w:tc>
      </w:tr>
      <w:tr w:rsidR="00B501AD" w14:paraId="2ED3F79E" w14:textId="77777777" w:rsidTr="007735C0">
        <w:trPr>
          <w:cantSplit/>
        </w:trPr>
        <w:tc>
          <w:tcPr>
            <w:tcW w:w="1789" w:type="dxa"/>
          </w:tcPr>
          <w:p w14:paraId="364CE037" w14:textId="77777777" w:rsidR="00B501AD" w:rsidRPr="00013550" w:rsidRDefault="00B501AD" w:rsidP="00F3010A">
            <w:pPr>
              <w:widowControl w:val="0"/>
              <w:rPr>
                <w:b/>
              </w:rPr>
            </w:pPr>
            <w:r w:rsidRPr="008A0C2D">
              <w:rPr>
                <w:b/>
              </w:rPr>
              <w:t>health information</w:t>
            </w:r>
          </w:p>
        </w:tc>
        <w:tc>
          <w:tcPr>
            <w:tcW w:w="6147" w:type="dxa"/>
          </w:tcPr>
          <w:p w14:paraId="3E4276EC" w14:textId="3CCF837A" w:rsidR="0067628A" w:rsidRDefault="00B501AD" w:rsidP="00F3010A">
            <w:pPr>
              <w:widowControl w:val="0"/>
            </w:pPr>
            <w:r>
              <w:t xml:space="preserve">means </w:t>
            </w:r>
            <w:r w:rsidR="0067628A">
              <w:t>the</w:t>
            </w:r>
            <w:r>
              <w:t xml:space="preserve"> type of personal information </w:t>
            </w:r>
            <w:r w:rsidR="0067628A">
              <w:t xml:space="preserve">defined as such in </w:t>
            </w:r>
            <w:r w:rsidR="00377D5D">
              <w:t>s</w:t>
            </w:r>
            <w:r w:rsidR="00377D5D" w:rsidRPr="00D43347">
              <w:t xml:space="preserve"> </w:t>
            </w:r>
            <w:r w:rsidR="0067628A">
              <w:t>6</w:t>
            </w:r>
            <w:r w:rsidR="0067628A" w:rsidRPr="00D43347">
              <w:t xml:space="preserve"> of the </w:t>
            </w:r>
            <w:hyperlink r:id="rId12" w:anchor="/view/act/2002/71" w:history="1">
              <w:r w:rsidR="0067628A" w:rsidRPr="0067628A">
                <w:rPr>
                  <w:rStyle w:val="Hyperlink"/>
                  <w:i/>
                </w:rPr>
                <w:t>Health Records and Information Privacy Act 2002</w:t>
              </w:r>
              <w:r w:rsidR="0067628A" w:rsidRPr="0067628A">
                <w:rPr>
                  <w:rStyle w:val="Hyperlink"/>
                </w:rPr>
                <w:t xml:space="preserve"> (NSW)</w:t>
              </w:r>
            </w:hyperlink>
            <w:r w:rsidR="0067628A">
              <w:t xml:space="preserve">.  It </w:t>
            </w:r>
            <w:r w:rsidRPr="0067628A">
              <w:t>may include</w:t>
            </w:r>
            <w:r w:rsidR="0067628A">
              <w:t>, but is not limited to:</w:t>
            </w:r>
          </w:p>
          <w:p w14:paraId="16D90684" w14:textId="7F370DC3" w:rsidR="0067628A" w:rsidRDefault="00B501AD" w:rsidP="00F3010A">
            <w:pPr>
              <w:pStyle w:val="NormalDotPoint"/>
              <w:widowControl w:val="0"/>
            </w:pPr>
            <w:r w:rsidRPr="0067628A">
              <w:t>information about an individual’s physical or mental health or, disability</w:t>
            </w:r>
            <w:r w:rsidR="0067628A">
              <w:t>;</w:t>
            </w:r>
          </w:p>
          <w:p w14:paraId="1EDBB412" w14:textId="7E17E5AD" w:rsidR="0067628A" w:rsidRDefault="00B501AD" w:rsidP="00F3010A">
            <w:pPr>
              <w:pStyle w:val="NormalDotPoint"/>
              <w:widowControl w:val="0"/>
            </w:pPr>
            <w:r>
              <w:t>blood or DNA samples</w:t>
            </w:r>
            <w:r w:rsidR="0067628A">
              <w:t>;</w:t>
            </w:r>
          </w:p>
          <w:p w14:paraId="6D97E044" w14:textId="75D31701" w:rsidR="0067628A" w:rsidRDefault="00B501AD" w:rsidP="00F3010A">
            <w:pPr>
              <w:pStyle w:val="NormalDotPoint"/>
              <w:widowControl w:val="0"/>
            </w:pPr>
            <w:r>
              <w:t>information about a health service provided to an individual</w:t>
            </w:r>
            <w:r w:rsidR="0067628A">
              <w:t>;</w:t>
            </w:r>
            <w:r>
              <w:t xml:space="preserve"> </w:t>
            </w:r>
          </w:p>
          <w:p w14:paraId="768386B6" w14:textId="77777777" w:rsidR="00B501AD" w:rsidRPr="005F1996" w:rsidRDefault="00B501AD" w:rsidP="00F3010A">
            <w:pPr>
              <w:pStyle w:val="NormalDotPoint"/>
              <w:widowControl w:val="0"/>
            </w:pPr>
            <w:r>
              <w:t xml:space="preserve">information or opinions about an individual’s physical or mental health, or disability.  </w:t>
            </w:r>
            <w:r w:rsidR="0067628A">
              <w:br/>
            </w:r>
          </w:p>
        </w:tc>
      </w:tr>
      <w:tr w:rsidR="00894016" w14:paraId="7BFFFFD7" w14:textId="77777777" w:rsidTr="007735C0">
        <w:trPr>
          <w:cantSplit/>
        </w:trPr>
        <w:tc>
          <w:tcPr>
            <w:tcW w:w="1789" w:type="dxa"/>
          </w:tcPr>
          <w:p w14:paraId="4B992BB8" w14:textId="434B028B" w:rsidR="00894016" w:rsidRPr="008A0C2D" w:rsidRDefault="00894016" w:rsidP="00F3010A">
            <w:pPr>
              <w:widowControl w:val="0"/>
              <w:rPr>
                <w:b/>
              </w:rPr>
            </w:pPr>
            <w:r>
              <w:rPr>
                <w:b/>
              </w:rPr>
              <w:t>held</w:t>
            </w:r>
          </w:p>
        </w:tc>
        <w:tc>
          <w:tcPr>
            <w:tcW w:w="6147" w:type="dxa"/>
          </w:tcPr>
          <w:p w14:paraId="4E2EFF2B" w14:textId="283C9FBE" w:rsidR="00894016" w:rsidRPr="008A0C2D" w:rsidRDefault="00894016" w:rsidP="00F3010A">
            <w:pPr>
              <w:widowControl w:val="0"/>
            </w:pPr>
            <w:r w:rsidRPr="00894016">
              <w:t>means information that is in the possession or control of the University</w:t>
            </w:r>
            <w:r w:rsidR="000157DD">
              <w:t xml:space="preserve">’s </w:t>
            </w:r>
            <w:r w:rsidRPr="00894016">
              <w:t xml:space="preserve">staff </w:t>
            </w:r>
            <w:r w:rsidR="000157DD">
              <w:t xml:space="preserve">or </w:t>
            </w:r>
            <w:r w:rsidRPr="00894016">
              <w:t xml:space="preserve">affiliates.  This includes where </w:t>
            </w:r>
            <w:r w:rsidR="000157DD">
              <w:t xml:space="preserve">staff or affiliates </w:t>
            </w:r>
            <w:r w:rsidRPr="00894016">
              <w:t xml:space="preserve">physically possess the information and also where </w:t>
            </w:r>
            <w:r w:rsidR="000157DD">
              <w:t>they</w:t>
            </w:r>
            <w:r w:rsidRPr="00894016">
              <w:t xml:space="preserve"> ha</w:t>
            </w:r>
            <w:r w:rsidR="000157DD">
              <w:t>ve</w:t>
            </w:r>
            <w:r w:rsidRPr="00894016">
              <w:t xml:space="preserve"> the right or power to deal with it</w:t>
            </w:r>
            <w:r w:rsidR="00DB071A">
              <w:t>.</w:t>
            </w:r>
            <w:r w:rsidRPr="00894016">
              <w:t xml:space="preserve"> </w:t>
            </w:r>
          </w:p>
        </w:tc>
      </w:tr>
      <w:tr w:rsidR="00B501AD" w14:paraId="35F4AE90" w14:textId="77777777" w:rsidTr="007735C0">
        <w:trPr>
          <w:cantSplit/>
        </w:trPr>
        <w:tc>
          <w:tcPr>
            <w:tcW w:w="1789" w:type="dxa"/>
          </w:tcPr>
          <w:p w14:paraId="2CDD1828" w14:textId="77777777" w:rsidR="00B501AD" w:rsidRPr="00013550" w:rsidRDefault="00B501AD" w:rsidP="00F3010A">
            <w:pPr>
              <w:widowControl w:val="0"/>
              <w:rPr>
                <w:b/>
              </w:rPr>
            </w:pPr>
            <w:r w:rsidRPr="008A0C2D">
              <w:rPr>
                <w:b/>
              </w:rPr>
              <w:t>law enforcement agency</w:t>
            </w:r>
          </w:p>
        </w:tc>
        <w:tc>
          <w:tcPr>
            <w:tcW w:w="6147" w:type="dxa"/>
          </w:tcPr>
          <w:p w14:paraId="38F4940B" w14:textId="64A1BC4D" w:rsidR="00B501AD" w:rsidRDefault="00B501AD" w:rsidP="00F3010A">
            <w:pPr>
              <w:widowControl w:val="0"/>
            </w:pPr>
            <w:r w:rsidRPr="008A0C2D">
              <w:t xml:space="preserve">has the meaning provided in section 3 of the </w:t>
            </w:r>
            <w:hyperlink r:id="rId13" w:anchor="/view/act/1998/133" w:history="1">
              <w:r w:rsidRPr="0067628A">
                <w:rPr>
                  <w:rStyle w:val="Hyperlink"/>
                  <w:i/>
                </w:rPr>
                <w:t>Privacy and Personal Information Protection Act 1998</w:t>
              </w:r>
              <w:r w:rsidRPr="0067628A">
                <w:rPr>
                  <w:rStyle w:val="Hyperlink"/>
                </w:rPr>
                <w:t xml:space="preserve"> (NSW)</w:t>
              </w:r>
            </w:hyperlink>
            <w:r>
              <w:t xml:space="preserve"> </w:t>
            </w:r>
            <w:r w:rsidR="0067628A">
              <w:t>which at the date of these procedures is any of:</w:t>
            </w:r>
          </w:p>
          <w:p w14:paraId="19E037D9" w14:textId="77777777" w:rsidR="0067628A" w:rsidRPr="00DB071A" w:rsidRDefault="0067628A" w:rsidP="00F3010A">
            <w:pPr>
              <w:pStyle w:val="NormalDotPoint"/>
              <w:widowControl w:val="0"/>
              <w:ind w:left="924" w:right="567" w:hanging="357"/>
            </w:pPr>
            <w:r w:rsidRPr="00DB071A">
              <w:t>the New South Wales Police Force or the police force of any other State or Territory</w:t>
            </w:r>
          </w:p>
          <w:p w14:paraId="49CB4F1B" w14:textId="77777777" w:rsidR="0067628A" w:rsidRPr="00DB071A" w:rsidRDefault="0067628A" w:rsidP="00F3010A">
            <w:pPr>
              <w:pStyle w:val="NormalDotPoint"/>
              <w:widowControl w:val="0"/>
              <w:ind w:left="924" w:right="567" w:hanging="357"/>
            </w:pPr>
            <w:r w:rsidRPr="00DB071A">
              <w:t>the New South Wales Crime Commission</w:t>
            </w:r>
          </w:p>
          <w:p w14:paraId="17A69F65" w14:textId="77777777" w:rsidR="0067628A" w:rsidRPr="00DB071A" w:rsidRDefault="0067628A" w:rsidP="00F3010A">
            <w:pPr>
              <w:pStyle w:val="NormalDotPoint"/>
              <w:widowControl w:val="0"/>
              <w:ind w:left="924" w:right="567" w:hanging="357"/>
            </w:pPr>
            <w:r w:rsidRPr="00DB071A">
              <w:t>the Australian Federal Police</w:t>
            </w:r>
          </w:p>
          <w:p w14:paraId="6E3D9E56" w14:textId="77777777" w:rsidR="0067628A" w:rsidRPr="00DB071A" w:rsidRDefault="0067628A" w:rsidP="00F3010A">
            <w:pPr>
              <w:pStyle w:val="NormalDotPoint"/>
              <w:widowControl w:val="0"/>
              <w:ind w:left="924" w:right="567" w:hanging="357"/>
            </w:pPr>
            <w:r w:rsidRPr="00DB071A">
              <w:t>the Australian Crime Commission</w:t>
            </w:r>
          </w:p>
          <w:p w14:paraId="4CF02F5E" w14:textId="77777777" w:rsidR="0067628A" w:rsidRPr="00DB071A" w:rsidRDefault="0067628A" w:rsidP="00F3010A">
            <w:pPr>
              <w:pStyle w:val="NormalDotPoint"/>
              <w:widowControl w:val="0"/>
              <w:ind w:left="924" w:right="567" w:hanging="357"/>
            </w:pPr>
            <w:r w:rsidRPr="00DB071A">
              <w:t>the Director of Public Prosecutions of New South Wales or of another State or Territory, or of the Commonwealth</w:t>
            </w:r>
          </w:p>
          <w:p w14:paraId="3556192B" w14:textId="77777777" w:rsidR="0067628A" w:rsidRPr="00DB071A" w:rsidRDefault="0067628A" w:rsidP="00F3010A">
            <w:pPr>
              <w:pStyle w:val="NormalDotPoint"/>
              <w:widowControl w:val="0"/>
              <w:ind w:left="924" w:right="567" w:hanging="357"/>
            </w:pPr>
            <w:r w:rsidRPr="00DB071A">
              <w:t>the Department of Justice</w:t>
            </w:r>
          </w:p>
          <w:p w14:paraId="43104F4D" w14:textId="77777777" w:rsidR="0067628A" w:rsidRPr="00DB071A" w:rsidRDefault="0067628A" w:rsidP="00F3010A">
            <w:pPr>
              <w:pStyle w:val="NormalDotPoint"/>
              <w:widowControl w:val="0"/>
              <w:ind w:left="924" w:right="567" w:hanging="357"/>
            </w:pPr>
            <w:r w:rsidRPr="00DB071A">
              <w:t>the office of the Sherriff of New South Wales</w:t>
            </w:r>
          </w:p>
          <w:p w14:paraId="63BF1E27" w14:textId="77777777" w:rsidR="0067628A" w:rsidRPr="005F1996" w:rsidRDefault="0067628A" w:rsidP="00F3010A">
            <w:pPr>
              <w:pStyle w:val="NormalDotPoint"/>
              <w:widowControl w:val="0"/>
              <w:ind w:left="924" w:right="567" w:hanging="357"/>
            </w:pPr>
            <w:r w:rsidRPr="00DB071A">
              <w:t>a person or body prescribed by the regulations for the purposes of this definition.</w:t>
            </w:r>
            <w:r w:rsidRPr="00DB071A">
              <w:br/>
            </w:r>
          </w:p>
        </w:tc>
      </w:tr>
      <w:tr w:rsidR="00B501AD" w14:paraId="128A7067" w14:textId="77777777" w:rsidTr="007735C0">
        <w:trPr>
          <w:cantSplit/>
        </w:trPr>
        <w:tc>
          <w:tcPr>
            <w:tcW w:w="1789" w:type="dxa"/>
          </w:tcPr>
          <w:p w14:paraId="06D98F7A" w14:textId="00F331DF" w:rsidR="00B501AD" w:rsidRPr="00013550" w:rsidRDefault="00B501AD" w:rsidP="00F3010A">
            <w:pPr>
              <w:widowControl w:val="0"/>
              <w:rPr>
                <w:b/>
              </w:rPr>
            </w:pPr>
            <w:r w:rsidRPr="008A0C2D">
              <w:rPr>
                <w:b/>
              </w:rPr>
              <w:lastRenderedPageBreak/>
              <w:t>personal information</w:t>
            </w:r>
          </w:p>
        </w:tc>
        <w:tc>
          <w:tcPr>
            <w:tcW w:w="6147" w:type="dxa"/>
          </w:tcPr>
          <w:p w14:paraId="680AD5C2" w14:textId="2A16E968" w:rsidR="006A2252" w:rsidRDefault="00CD4233" w:rsidP="00F3010A">
            <w:pPr>
              <w:widowControl w:val="0"/>
            </w:pPr>
            <w:r>
              <w:t xml:space="preserve">has the meaning given in section 4 of the </w:t>
            </w:r>
            <w:hyperlink r:id="rId14" w:anchor="/view/act/1998/133" w:history="1">
              <w:r w:rsidRPr="00CD4233">
                <w:rPr>
                  <w:rStyle w:val="Hyperlink"/>
                  <w:i/>
                </w:rPr>
                <w:t>Privacy and Personal Information Protection Act 1998</w:t>
              </w:r>
              <w:r w:rsidR="00E65F67">
                <w:rPr>
                  <w:rStyle w:val="Hyperlink"/>
                  <w:i/>
                </w:rPr>
                <w:t xml:space="preserve"> </w:t>
              </w:r>
              <w:r w:rsidRPr="00CD4233">
                <w:rPr>
                  <w:rStyle w:val="Hyperlink"/>
                  <w:i/>
                </w:rPr>
                <w:t>(NSW)</w:t>
              </w:r>
            </w:hyperlink>
            <w:r w:rsidR="006A2252">
              <w:rPr>
                <w:i/>
              </w:rPr>
              <w:t xml:space="preserve">, </w:t>
            </w:r>
            <w:r w:rsidR="006A2252">
              <w:t>excluding subsection 4(3)(</w:t>
            </w:r>
            <w:r w:rsidR="006A146A">
              <w:t>j</w:t>
            </w:r>
            <w:r w:rsidR="006A2252">
              <w:t xml:space="preserve">) of that Act.  </w:t>
            </w:r>
          </w:p>
          <w:p w14:paraId="379787A4" w14:textId="02B8AEB0" w:rsidR="006A2252" w:rsidRPr="006A2252" w:rsidRDefault="006A2252" w:rsidP="00F3010A">
            <w:pPr>
              <w:widowControl w:val="0"/>
            </w:pPr>
            <w:r>
              <w:t>It includes</w:t>
            </w:r>
            <w:r w:rsidR="00B501AD" w:rsidRPr="006A2252">
              <w:t xml:space="preserve"> any information or opinion about a person where their identity is apparent or can reasonably be ascertained</w:t>
            </w:r>
            <w:r w:rsidRPr="006A2252">
              <w:t>, such as</w:t>
            </w:r>
          </w:p>
          <w:p w14:paraId="6BA0E16B" w14:textId="02123723" w:rsidR="006A2252" w:rsidRPr="006A2252" w:rsidRDefault="00B501AD" w:rsidP="00F3010A">
            <w:pPr>
              <w:pStyle w:val="NormalDotPoint"/>
              <w:widowControl w:val="0"/>
            </w:pPr>
            <w:r w:rsidRPr="006A2252">
              <w:t>an individual’s name</w:t>
            </w:r>
            <w:r w:rsidR="006A2252" w:rsidRPr="006A2252">
              <w:t>;</w:t>
            </w:r>
            <w:r w:rsidRPr="006A2252">
              <w:t xml:space="preserve"> </w:t>
            </w:r>
          </w:p>
          <w:p w14:paraId="2D755015" w14:textId="0FD9D8BE" w:rsidR="006A2252" w:rsidRPr="006A2252" w:rsidRDefault="006A2252" w:rsidP="00F3010A">
            <w:pPr>
              <w:pStyle w:val="NormalDotPoint"/>
              <w:widowControl w:val="0"/>
            </w:pPr>
            <w:r w:rsidRPr="006A2252">
              <w:t xml:space="preserve">an individual’s </w:t>
            </w:r>
            <w:r w:rsidR="00B501AD" w:rsidRPr="006A2252">
              <w:t>address</w:t>
            </w:r>
            <w:r w:rsidRPr="006A2252">
              <w:t>;</w:t>
            </w:r>
            <w:r w:rsidR="00B501AD" w:rsidRPr="006A2252">
              <w:t xml:space="preserve"> </w:t>
            </w:r>
          </w:p>
          <w:p w14:paraId="259F42E8" w14:textId="02F75382" w:rsidR="006A2252" w:rsidRPr="006A2252" w:rsidRDefault="006A2252" w:rsidP="00F3010A">
            <w:pPr>
              <w:pStyle w:val="NormalDotPoint"/>
              <w:widowControl w:val="0"/>
            </w:pPr>
            <w:r w:rsidRPr="006A2252">
              <w:t xml:space="preserve">an individual’s </w:t>
            </w:r>
            <w:r w:rsidR="00B501AD" w:rsidRPr="006A2252">
              <w:t>student</w:t>
            </w:r>
            <w:r w:rsidRPr="006A2252">
              <w:t xml:space="preserve"> or </w:t>
            </w:r>
            <w:r w:rsidR="00B501AD" w:rsidRPr="006A2252">
              <w:t>staff number</w:t>
            </w:r>
            <w:r w:rsidRPr="006A2252">
              <w:t>;</w:t>
            </w:r>
            <w:r w:rsidR="00B501AD" w:rsidRPr="006A2252">
              <w:t xml:space="preserve"> </w:t>
            </w:r>
          </w:p>
          <w:p w14:paraId="66F301D0" w14:textId="77777777" w:rsidR="006A2252" w:rsidRPr="006A2252" w:rsidRDefault="00B501AD" w:rsidP="00F3010A">
            <w:pPr>
              <w:pStyle w:val="NormalDotPoint"/>
              <w:widowControl w:val="0"/>
            </w:pPr>
            <w:r w:rsidRPr="006A2252">
              <w:t xml:space="preserve">CCTV and other video recordings of an individual; and </w:t>
            </w:r>
          </w:p>
          <w:p w14:paraId="6361E188" w14:textId="023DAE9B" w:rsidR="00B501AD" w:rsidRDefault="00B501AD" w:rsidP="00F3010A">
            <w:pPr>
              <w:pStyle w:val="NormalDotPoint"/>
              <w:widowControl w:val="0"/>
            </w:pPr>
            <w:r w:rsidRPr="006A2252">
              <w:t>information or an opinion about an individual’s suitability for employment or promotion at the University.</w:t>
            </w:r>
            <w:r>
              <w:t xml:space="preserve">  </w:t>
            </w:r>
            <w:r w:rsidR="006A2252">
              <w:br/>
            </w:r>
          </w:p>
          <w:p w14:paraId="3D1610AC" w14:textId="312127CD" w:rsidR="00B501AD" w:rsidRPr="005F1996" w:rsidRDefault="00E64A8C" w:rsidP="00E64A8C">
            <w:pPr>
              <w:pStyle w:val="NormalNotes"/>
            </w:pPr>
            <w:r w:rsidRPr="00E64A8C">
              <w:rPr>
                <w:b/>
                <w:bCs/>
              </w:rPr>
              <w:t>Note</w:t>
            </w:r>
            <w:r>
              <w:t>: R</w:t>
            </w:r>
            <w:r w:rsidR="00B501AD" w:rsidRPr="006A2252">
              <w:t>eferences to personal information include</w:t>
            </w:r>
            <w:r>
              <w:t>s</w:t>
            </w:r>
            <w:r w:rsidR="00B501AD" w:rsidRPr="006A2252">
              <w:t xml:space="preserve"> health information</w:t>
            </w:r>
            <w:r w:rsidR="00B501AD">
              <w:t xml:space="preserve">.  </w:t>
            </w:r>
          </w:p>
        </w:tc>
      </w:tr>
      <w:tr w:rsidR="00B501AD" w14:paraId="5657956C" w14:textId="77777777" w:rsidTr="007735C0">
        <w:trPr>
          <w:cantSplit/>
        </w:trPr>
        <w:tc>
          <w:tcPr>
            <w:tcW w:w="1789" w:type="dxa"/>
          </w:tcPr>
          <w:p w14:paraId="6406D1B1" w14:textId="02B7550A" w:rsidR="00B501AD" w:rsidRPr="008A0C2D" w:rsidRDefault="00B501AD" w:rsidP="00F3010A">
            <w:pPr>
              <w:widowControl w:val="0"/>
              <w:rPr>
                <w:b/>
              </w:rPr>
            </w:pPr>
            <w:r w:rsidRPr="008A0C2D">
              <w:rPr>
                <w:b/>
              </w:rPr>
              <w:t>privacy acts</w:t>
            </w:r>
          </w:p>
        </w:tc>
        <w:tc>
          <w:tcPr>
            <w:tcW w:w="6147" w:type="dxa"/>
          </w:tcPr>
          <w:p w14:paraId="74A76EEE" w14:textId="0DF5E439" w:rsidR="00B501AD" w:rsidRDefault="00B501AD" w:rsidP="00F3010A">
            <w:pPr>
              <w:widowControl w:val="0"/>
            </w:pPr>
            <w:r w:rsidRPr="00877205">
              <w:t xml:space="preserve">means either or both </w:t>
            </w:r>
            <w:r w:rsidR="006A2252">
              <w:t xml:space="preserve">of </w:t>
            </w:r>
            <w:r w:rsidRPr="00877205">
              <w:t>the</w:t>
            </w:r>
            <w:hyperlink r:id="rId15" w:anchor="/view/act/1998/133" w:history="1">
              <w:r w:rsidRPr="006A2252">
                <w:rPr>
                  <w:rStyle w:val="Hyperlink"/>
                </w:rPr>
                <w:t xml:space="preserve"> </w:t>
              </w:r>
              <w:r w:rsidRPr="006A2252">
                <w:rPr>
                  <w:rStyle w:val="Hyperlink"/>
                  <w:i/>
                </w:rPr>
                <w:t>Privacy and Personal Information Protection Act 1998</w:t>
              </w:r>
              <w:r w:rsidRPr="006A2252">
                <w:rPr>
                  <w:rStyle w:val="Hyperlink"/>
                </w:rPr>
                <w:t xml:space="preserve"> (NSW)</w:t>
              </w:r>
            </w:hyperlink>
            <w:r w:rsidRPr="00877205">
              <w:t xml:space="preserve"> and the </w:t>
            </w:r>
            <w:hyperlink r:id="rId16" w:anchor="/view/act/2002/71" w:history="1">
              <w:r w:rsidRPr="006A2252">
                <w:rPr>
                  <w:rStyle w:val="Hyperlink"/>
                  <w:i/>
                </w:rPr>
                <w:t>Health Records and Information Privacy Act 2002</w:t>
              </w:r>
              <w:r w:rsidRPr="006A2252">
                <w:rPr>
                  <w:rStyle w:val="Hyperlink"/>
                </w:rPr>
                <w:t xml:space="preserve"> (NSW)</w:t>
              </w:r>
            </w:hyperlink>
            <w:r w:rsidRPr="00877205">
              <w:t xml:space="preserve"> </w:t>
            </w:r>
          </w:p>
        </w:tc>
      </w:tr>
      <w:tr w:rsidR="000157DD" w14:paraId="37E72E52" w14:textId="77777777" w:rsidTr="007735C0">
        <w:trPr>
          <w:cantSplit/>
        </w:trPr>
        <w:tc>
          <w:tcPr>
            <w:tcW w:w="1789" w:type="dxa"/>
          </w:tcPr>
          <w:p w14:paraId="54620F44" w14:textId="3675F147" w:rsidR="000157DD" w:rsidRDefault="000157DD" w:rsidP="00F3010A">
            <w:pPr>
              <w:widowControl w:val="0"/>
              <w:rPr>
                <w:b/>
              </w:rPr>
            </w:pPr>
            <w:r>
              <w:rPr>
                <w:b/>
              </w:rPr>
              <w:t>privacy breach</w:t>
            </w:r>
          </w:p>
        </w:tc>
        <w:tc>
          <w:tcPr>
            <w:tcW w:w="6147" w:type="dxa"/>
          </w:tcPr>
          <w:p w14:paraId="50F09093" w14:textId="3F675A9A" w:rsidR="000157DD" w:rsidRDefault="000157DD" w:rsidP="00F3010A">
            <w:pPr>
              <w:widowControl w:val="0"/>
            </w:pPr>
            <w:r>
              <w:t xml:space="preserve">means </w:t>
            </w:r>
            <w:r w:rsidR="00601AA4">
              <w:t xml:space="preserve">a situation </w:t>
            </w:r>
            <w:r>
              <w:t xml:space="preserve">where personal or health information held by the University is lost or subjected to unauthorised access, modification, disclosure or other misuse or interference.  </w:t>
            </w:r>
          </w:p>
        </w:tc>
      </w:tr>
      <w:tr w:rsidR="00B501AD" w14:paraId="5F159A65" w14:textId="77777777" w:rsidTr="007735C0">
        <w:trPr>
          <w:cantSplit/>
        </w:trPr>
        <w:tc>
          <w:tcPr>
            <w:tcW w:w="1789" w:type="dxa"/>
          </w:tcPr>
          <w:p w14:paraId="790C3EE6" w14:textId="23F680E8" w:rsidR="00B501AD" w:rsidRPr="008A0C2D" w:rsidRDefault="00BF3DF9" w:rsidP="00F3010A">
            <w:pPr>
              <w:widowControl w:val="0"/>
              <w:rPr>
                <w:b/>
              </w:rPr>
            </w:pPr>
            <w:r>
              <w:rPr>
                <w:b/>
              </w:rPr>
              <w:t>P</w:t>
            </w:r>
            <w:r w:rsidR="00B501AD">
              <w:rPr>
                <w:b/>
              </w:rPr>
              <w:t xml:space="preserve">roper </w:t>
            </w:r>
            <w:r>
              <w:rPr>
                <w:b/>
              </w:rPr>
              <w:t>O</w:t>
            </w:r>
            <w:r w:rsidR="00B501AD">
              <w:rPr>
                <w:b/>
              </w:rPr>
              <w:t>fficer</w:t>
            </w:r>
          </w:p>
        </w:tc>
        <w:tc>
          <w:tcPr>
            <w:tcW w:w="6147" w:type="dxa"/>
          </w:tcPr>
          <w:p w14:paraId="65D6089F" w14:textId="281BFA0D" w:rsidR="00B501AD" w:rsidRDefault="00B501AD" w:rsidP="00F3010A">
            <w:pPr>
              <w:widowControl w:val="0"/>
            </w:pPr>
            <w:r>
              <w:t>means the person appointed to receive subpoenas on behalf of the University.</w:t>
            </w:r>
            <w:r w:rsidR="000C2397">
              <w:t xml:space="preserve"> </w:t>
            </w:r>
            <w:r>
              <w:t xml:space="preserve"> At the time of th</w:t>
            </w:r>
            <w:r w:rsidR="000C2397">
              <w:t>e</w:t>
            </w:r>
            <w:r>
              <w:t>s</w:t>
            </w:r>
            <w:r w:rsidR="000C2397">
              <w:t>e</w:t>
            </w:r>
            <w:r>
              <w:t xml:space="preserve"> procedures</w:t>
            </w:r>
            <w:r w:rsidR="000C2397">
              <w:t>’</w:t>
            </w:r>
            <w:r>
              <w:t xml:space="preserve"> commencement, it is the University’s Records Manager.</w:t>
            </w:r>
          </w:p>
        </w:tc>
      </w:tr>
      <w:tr w:rsidR="00C35BFF" w14:paraId="0108176E" w14:textId="77777777" w:rsidTr="007735C0">
        <w:trPr>
          <w:cantSplit/>
        </w:trPr>
        <w:tc>
          <w:tcPr>
            <w:tcW w:w="1789" w:type="dxa"/>
          </w:tcPr>
          <w:p w14:paraId="155A9BC3" w14:textId="6000A376" w:rsidR="00C35BFF" w:rsidRDefault="00C35BFF" w:rsidP="00F3010A">
            <w:pPr>
              <w:widowControl w:val="0"/>
              <w:rPr>
                <w:b/>
              </w:rPr>
            </w:pPr>
            <w:bookmarkStart w:id="5" w:name="_Hlk153886510"/>
            <w:r>
              <w:rPr>
                <w:b/>
              </w:rPr>
              <w:t>serious harm</w:t>
            </w:r>
          </w:p>
        </w:tc>
        <w:tc>
          <w:tcPr>
            <w:tcW w:w="6147" w:type="dxa"/>
          </w:tcPr>
          <w:p w14:paraId="6F145667" w14:textId="1E363B4F" w:rsidR="00C35BFF" w:rsidRDefault="00C35BFF" w:rsidP="00F3010A">
            <w:pPr>
              <w:widowControl w:val="0"/>
            </w:pPr>
            <w:r>
              <w:t xml:space="preserve">has the meaning given </w:t>
            </w:r>
            <w:r w:rsidR="0052125B">
              <w:t xml:space="preserve">in the </w:t>
            </w:r>
            <w:hyperlink r:id="rId17" w:history="1">
              <w:r w:rsidR="0052125B" w:rsidRPr="00BD2129">
                <w:rPr>
                  <w:rStyle w:val="Hyperlink"/>
                  <w:i/>
                  <w:iCs/>
                </w:rPr>
                <w:t>Data Breach Policy 2023</w:t>
              </w:r>
            </w:hyperlink>
            <w:r w:rsidR="0052125B" w:rsidRPr="00BD2129">
              <w:t>,</w:t>
            </w:r>
            <w:r w:rsidR="0052125B">
              <w:t xml:space="preserve"> which at the date of these procedures is: </w:t>
            </w:r>
          </w:p>
          <w:p w14:paraId="28832CAC" w14:textId="77777777" w:rsidR="004B75FD" w:rsidRPr="004B75FD" w:rsidRDefault="004B75FD" w:rsidP="004B75FD">
            <w:pPr>
              <w:ind w:left="567" w:right="567"/>
              <w:rPr>
                <w:sz w:val="18"/>
                <w:szCs w:val="18"/>
              </w:rPr>
            </w:pPr>
            <w:r w:rsidRPr="004B75FD">
              <w:rPr>
                <w:sz w:val="18"/>
                <w:szCs w:val="18"/>
              </w:rPr>
              <w:t>means harm that has a substantial detrimental effect on an individual. It includes:</w:t>
            </w:r>
          </w:p>
          <w:p w14:paraId="4B5578E2" w14:textId="77777777" w:rsidR="004B75FD" w:rsidRPr="004B75FD" w:rsidRDefault="004B75FD" w:rsidP="004B75FD">
            <w:pPr>
              <w:pStyle w:val="NormalDotPoint"/>
              <w:numPr>
                <w:ilvl w:val="2"/>
                <w:numId w:val="38"/>
              </w:numPr>
              <w:ind w:right="567"/>
              <w:rPr>
                <w:sz w:val="18"/>
                <w:szCs w:val="18"/>
              </w:rPr>
            </w:pPr>
            <w:r w:rsidRPr="004B75FD">
              <w:rPr>
                <w:sz w:val="18"/>
                <w:szCs w:val="18"/>
              </w:rPr>
              <w:t>physical harm;</w:t>
            </w:r>
          </w:p>
          <w:p w14:paraId="290B4AFF" w14:textId="77777777" w:rsidR="004B75FD" w:rsidRPr="004B75FD" w:rsidRDefault="004B75FD" w:rsidP="004B75FD">
            <w:pPr>
              <w:pStyle w:val="NormalDotPoint"/>
              <w:numPr>
                <w:ilvl w:val="2"/>
                <w:numId w:val="38"/>
              </w:numPr>
              <w:ind w:right="567"/>
              <w:rPr>
                <w:sz w:val="18"/>
                <w:szCs w:val="18"/>
              </w:rPr>
            </w:pPr>
            <w:r w:rsidRPr="004B75FD">
              <w:rPr>
                <w:sz w:val="18"/>
                <w:szCs w:val="18"/>
              </w:rPr>
              <w:t xml:space="preserve">economic, financial or material harm; </w:t>
            </w:r>
          </w:p>
          <w:p w14:paraId="3148EAC2" w14:textId="77777777" w:rsidR="004B75FD" w:rsidRPr="004B75FD" w:rsidRDefault="004B75FD" w:rsidP="004B75FD">
            <w:pPr>
              <w:pStyle w:val="NormalDotPoint"/>
              <w:numPr>
                <w:ilvl w:val="2"/>
                <w:numId w:val="38"/>
              </w:numPr>
              <w:ind w:right="567"/>
              <w:rPr>
                <w:sz w:val="18"/>
                <w:szCs w:val="18"/>
              </w:rPr>
            </w:pPr>
            <w:r w:rsidRPr="004B75FD">
              <w:rPr>
                <w:sz w:val="18"/>
                <w:szCs w:val="18"/>
              </w:rPr>
              <w:t xml:space="preserve">emotional or psychological harm; </w:t>
            </w:r>
          </w:p>
          <w:p w14:paraId="5562F150" w14:textId="77777777" w:rsidR="004B75FD" w:rsidRPr="004B75FD" w:rsidRDefault="004B75FD" w:rsidP="004B75FD">
            <w:pPr>
              <w:pStyle w:val="NormalDotPoint"/>
              <w:numPr>
                <w:ilvl w:val="2"/>
                <w:numId w:val="38"/>
              </w:numPr>
              <w:ind w:right="567"/>
              <w:rPr>
                <w:sz w:val="18"/>
                <w:szCs w:val="18"/>
              </w:rPr>
            </w:pPr>
            <w:r w:rsidRPr="004B75FD">
              <w:rPr>
                <w:sz w:val="18"/>
                <w:szCs w:val="18"/>
              </w:rPr>
              <w:t xml:space="preserve">reputational harm; and </w:t>
            </w:r>
          </w:p>
          <w:p w14:paraId="4FD065ED" w14:textId="77777777" w:rsidR="004B75FD" w:rsidRPr="004B75FD" w:rsidRDefault="004B75FD" w:rsidP="004B75FD">
            <w:pPr>
              <w:pStyle w:val="NormalDotPoint"/>
              <w:numPr>
                <w:ilvl w:val="2"/>
                <w:numId w:val="38"/>
              </w:numPr>
              <w:ind w:right="567"/>
              <w:rPr>
                <w:sz w:val="18"/>
                <w:szCs w:val="18"/>
              </w:rPr>
            </w:pPr>
            <w:r w:rsidRPr="004B75FD">
              <w:rPr>
                <w:sz w:val="18"/>
                <w:szCs w:val="18"/>
              </w:rPr>
              <w:t xml:space="preserve">other forms of serious harm that a reasonable person would identify as a possible outcome of the data breach. </w:t>
            </w:r>
          </w:p>
          <w:p w14:paraId="501642A8" w14:textId="4DC89399" w:rsidR="0052125B" w:rsidRDefault="004B75FD" w:rsidP="004B75FD">
            <w:pPr>
              <w:widowControl w:val="0"/>
              <w:ind w:left="567" w:right="567"/>
            </w:pPr>
            <w:r w:rsidRPr="004B75FD">
              <w:rPr>
                <w:b/>
                <w:bCs/>
                <w:sz w:val="18"/>
                <w:szCs w:val="18"/>
              </w:rPr>
              <w:t>Note</w:t>
            </w:r>
            <w:r w:rsidRPr="004B75FD">
              <w:rPr>
                <w:sz w:val="18"/>
                <w:szCs w:val="18"/>
              </w:rPr>
              <w:t>:</w:t>
            </w:r>
            <w:r w:rsidR="00F1027A">
              <w:rPr>
                <w:sz w:val="18"/>
                <w:szCs w:val="18"/>
              </w:rPr>
              <w:tab/>
            </w:r>
            <w:r w:rsidRPr="004B75FD">
              <w:rPr>
                <w:sz w:val="18"/>
                <w:szCs w:val="18"/>
              </w:rPr>
              <w:t>The effect on the individual must be more than mere irritation, annoyance or inconvenience.</w:t>
            </w:r>
          </w:p>
        </w:tc>
      </w:tr>
    </w:tbl>
    <w:bookmarkEnd w:id="4"/>
    <w:bookmarkEnd w:id="5"/>
    <w:p w14:paraId="089A3F0B" w14:textId="74F48DBB" w:rsidR="00B96D4E" w:rsidRPr="00017830" w:rsidRDefault="0066671B" w:rsidP="00B501AD">
      <w:pPr>
        <w:pStyle w:val="Heading4"/>
      </w:pPr>
      <w:r>
        <w:t>4</w:t>
      </w:r>
      <w:r w:rsidR="00502DB6">
        <w:tab/>
      </w:r>
      <w:r w:rsidR="00B501AD" w:rsidRPr="00B501AD">
        <w:t xml:space="preserve">Disclosure of personal information </w:t>
      </w:r>
      <w:r w:rsidR="006A2252">
        <w:t>generally</w:t>
      </w:r>
    </w:p>
    <w:p w14:paraId="20714697" w14:textId="2288D86F" w:rsidR="00B501AD" w:rsidRDefault="00B501AD" w:rsidP="00B501AD">
      <w:pPr>
        <w:pStyle w:val="NumberedFirstLevel"/>
        <w:numPr>
          <w:ilvl w:val="1"/>
          <w:numId w:val="16"/>
        </w:numPr>
      </w:pPr>
      <w:r>
        <w:t xml:space="preserve">The University will only disclose personal information that it holds about an individual </w:t>
      </w:r>
      <w:r w:rsidR="006A2252">
        <w:t>if:</w:t>
      </w:r>
    </w:p>
    <w:p w14:paraId="34ADCE2C" w14:textId="77777777" w:rsidR="00B501AD" w:rsidRDefault="00B501AD" w:rsidP="00B501AD">
      <w:pPr>
        <w:pStyle w:val="NumberedSecondLevel"/>
      </w:pPr>
      <w:r>
        <w:t>the individual to whom the information relates has given their express consent;</w:t>
      </w:r>
    </w:p>
    <w:p w14:paraId="0ACB341F" w14:textId="77777777" w:rsidR="00B501AD" w:rsidRDefault="00B501AD" w:rsidP="006A2252">
      <w:pPr>
        <w:pStyle w:val="NormalNotes"/>
        <w:ind w:left="1854"/>
      </w:pPr>
      <w:r w:rsidRPr="006A2252">
        <w:rPr>
          <w:b/>
        </w:rPr>
        <w:t>Note:</w:t>
      </w:r>
      <w:r>
        <w:t xml:space="preserve"> </w:t>
      </w:r>
      <w:r>
        <w:tab/>
        <w:t>An individual cannot give express consent in advance to disclosure of information which does not exist, or is unknown, at the time consent is sought.</w:t>
      </w:r>
    </w:p>
    <w:p w14:paraId="309B3D57" w14:textId="77777777" w:rsidR="00B501AD" w:rsidRDefault="00B501AD" w:rsidP="00B501AD">
      <w:pPr>
        <w:pStyle w:val="NumberedSecondLevel"/>
      </w:pPr>
      <w:r>
        <w:lastRenderedPageBreak/>
        <w:t xml:space="preserve">the disclosure is required or authorised by law; </w:t>
      </w:r>
    </w:p>
    <w:p w14:paraId="4E8CEF4C" w14:textId="77777777" w:rsidR="00B501AD" w:rsidRDefault="00B501AD" w:rsidP="00B501AD">
      <w:pPr>
        <w:pStyle w:val="NumberedSecondLevel"/>
      </w:pPr>
      <w:r>
        <w:t>the disclosure is directly related to the purpose for which the information was collected and there is no reason to believe the individual would object;</w:t>
      </w:r>
    </w:p>
    <w:p w14:paraId="0FC51566" w14:textId="34F094C9" w:rsidR="00B501AD" w:rsidRDefault="00B501AD" w:rsidP="00B501AD">
      <w:pPr>
        <w:pStyle w:val="NumberedSecondLevel"/>
      </w:pPr>
      <w:r>
        <w:t xml:space="preserve">the individual has been made aware, or is reasonably likely to have been aware, that information of that kind is usually disclosed; </w:t>
      </w:r>
    </w:p>
    <w:p w14:paraId="16D294EB" w14:textId="77777777" w:rsidR="00B501AD" w:rsidRDefault="00B501AD" w:rsidP="00B501AD">
      <w:pPr>
        <w:pStyle w:val="NumberedSecondLevel"/>
      </w:pPr>
      <w:r>
        <w:t>in the case of health information, and in accordance with the relevant statutory guidelines, it is reasonably necessary for the management of health services, training or research or it is being used for a related health treatment; or</w:t>
      </w:r>
    </w:p>
    <w:p w14:paraId="1AFF7269" w14:textId="1C7A6D5A" w:rsidR="006A2252" w:rsidRDefault="006A2252" w:rsidP="00B501AD">
      <w:pPr>
        <w:pStyle w:val="NumberedSecondLevel"/>
      </w:pPr>
      <w:r>
        <w:t xml:space="preserve">one of more of clauses 5 – 12 </w:t>
      </w:r>
      <w:r w:rsidR="009153AF">
        <w:t>of these procedures applies</w:t>
      </w:r>
      <w:r>
        <w:t>.</w:t>
      </w:r>
    </w:p>
    <w:p w14:paraId="27A7AAF4" w14:textId="6760207A" w:rsidR="00B501AD" w:rsidRDefault="00B501AD" w:rsidP="00B501AD">
      <w:pPr>
        <w:pStyle w:val="NumberedFirstLevel"/>
        <w:numPr>
          <w:ilvl w:val="1"/>
          <w:numId w:val="16"/>
        </w:numPr>
      </w:pPr>
      <w:r>
        <w:t>The University will only disclose personal information</w:t>
      </w:r>
      <w:r w:rsidR="009153AF">
        <w:t xml:space="preserve"> </w:t>
      </w:r>
      <w:r w:rsidR="006A2252">
        <w:t>that it holds about an individual</w:t>
      </w:r>
      <w:r>
        <w:t xml:space="preserve"> which relates to an individual's ethnic or racial origin, political opinions, religious or philosophical beliefs, trade union membership, or sexual activities </w:t>
      </w:r>
      <w:r w:rsidR="006A2252">
        <w:t>if</w:t>
      </w:r>
      <w:r>
        <w:t>:</w:t>
      </w:r>
    </w:p>
    <w:p w14:paraId="6656133A" w14:textId="6DCAD6B0" w:rsidR="00B501AD" w:rsidRDefault="00B501AD" w:rsidP="00B501AD">
      <w:pPr>
        <w:pStyle w:val="NumberedSecondLevel"/>
      </w:pPr>
      <w:r>
        <w:t>the individual has given their express consent;</w:t>
      </w:r>
    </w:p>
    <w:p w14:paraId="0F2C87F1" w14:textId="5BAE8357" w:rsidR="00B501AD" w:rsidRDefault="004F79E0" w:rsidP="00B501AD">
      <w:pPr>
        <w:pStyle w:val="NumberedSecondLevel"/>
      </w:pPr>
      <w:r>
        <w:t xml:space="preserve">the University reasonably believes that it is necessary </w:t>
      </w:r>
      <w:r w:rsidR="00B501AD">
        <w:t xml:space="preserve">to prevent a serious or imminent threat to any person's life or health; or </w:t>
      </w:r>
    </w:p>
    <w:p w14:paraId="3A67E34C" w14:textId="3B830ED0" w:rsidR="00B501AD" w:rsidRDefault="00B501AD" w:rsidP="00B501AD">
      <w:pPr>
        <w:pStyle w:val="NumberedSecondLevel"/>
      </w:pPr>
      <w:r>
        <w:t xml:space="preserve">the disclosure is </w:t>
      </w:r>
      <w:r w:rsidR="00FB4F6B">
        <w:t>required or authorised by law.</w:t>
      </w:r>
    </w:p>
    <w:p w14:paraId="73B898C3" w14:textId="77777777" w:rsidR="002A6A63" w:rsidRDefault="00B96D4E" w:rsidP="00517FA8">
      <w:pPr>
        <w:pStyle w:val="Heading4"/>
      </w:pPr>
      <w:bookmarkStart w:id="6" w:name="_Toc443380772"/>
      <w:r>
        <w:t>5</w:t>
      </w:r>
      <w:r w:rsidR="002A6A63">
        <w:tab/>
      </w:r>
      <w:bookmarkEnd w:id="6"/>
      <w:r w:rsidR="00B501AD" w:rsidRPr="00B501AD">
        <w:t>Disclosure in cases of emergency</w:t>
      </w:r>
    </w:p>
    <w:p w14:paraId="0BC96369" w14:textId="6D5C6F62" w:rsidR="00B501AD" w:rsidRDefault="00B501AD" w:rsidP="00B501AD">
      <w:pPr>
        <w:pStyle w:val="NumberedFirstLevel"/>
        <w:numPr>
          <w:ilvl w:val="1"/>
          <w:numId w:val="17"/>
        </w:numPr>
      </w:pPr>
      <w:bookmarkStart w:id="7" w:name="_Hlk532909261"/>
      <w:r>
        <w:t xml:space="preserve">The University may disclose an individual’s personal information without their consent where disclosure is necessary to prevent a serious and imminent threat to </w:t>
      </w:r>
      <w:r w:rsidR="00FB4F6B">
        <w:t>any person’s health or safety.</w:t>
      </w:r>
    </w:p>
    <w:p w14:paraId="47F75C48" w14:textId="77777777" w:rsidR="00B501AD" w:rsidRDefault="00B501AD" w:rsidP="00B501AD">
      <w:pPr>
        <w:pStyle w:val="NumberedFirstLevel"/>
      </w:pPr>
      <w:r>
        <w:t>The University may disclose health information without an individual’s consent if it is necessary to find a missing person.</w:t>
      </w:r>
    </w:p>
    <w:p w14:paraId="779C0547" w14:textId="7AF1AE2B" w:rsidR="00B501AD" w:rsidRDefault="00B501AD" w:rsidP="00B501AD">
      <w:pPr>
        <w:pStyle w:val="NumberedFirstLevel"/>
      </w:pPr>
      <w:r>
        <w:t xml:space="preserve">Decisions to disclose information in relation to subclauses 5(1) and 5(2) of these procedures are made as follows: </w:t>
      </w:r>
    </w:p>
    <w:p w14:paraId="37836DCE" w14:textId="7A056D36" w:rsidR="00B501AD" w:rsidRDefault="00B501AD" w:rsidP="00B501AD">
      <w:pPr>
        <w:pStyle w:val="NumberedSecondLevel"/>
      </w:pPr>
      <w:r>
        <w:t>relating to students: by the</w:t>
      </w:r>
      <w:r w:rsidR="00DA51F1">
        <w:t xml:space="preserve"> </w:t>
      </w:r>
      <w:r w:rsidR="006D1F68" w:rsidRPr="006D1F68">
        <w:t>Pro Vice-Chancellor (Student Life) or the Executive Director Student Administration Services</w:t>
      </w:r>
      <w:r w:rsidR="00C70024">
        <w:t>;</w:t>
      </w:r>
      <w:r w:rsidR="00DA51F1">
        <w:t xml:space="preserve"> </w:t>
      </w:r>
    </w:p>
    <w:p w14:paraId="481838CC" w14:textId="7247972B" w:rsidR="00B501AD" w:rsidRDefault="00B501AD" w:rsidP="00B501AD">
      <w:pPr>
        <w:pStyle w:val="NumberedSecondLevel"/>
      </w:pPr>
      <w:r>
        <w:t>relating to staff members: by the Chief Human Resources Officer;</w:t>
      </w:r>
    </w:p>
    <w:p w14:paraId="1509BAA5" w14:textId="6012CD9C" w:rsidR="0066671B" w:rsidRDefault="00B501AD" w:rsidP="0066671B">
      <w:pPr>
        <w:pStyle w:val="NumberedSecondLevel"/>
      </w:pPr>
      <w:r>
        <w:t xml:space="preserve">relating to members of the public: by the </w:t>
      </w:r>
      <w:r w:rsidR="002D6F18">
        <w:t>Manager</w:t>
      </w:r>
      <w:r w:rsidR="00D92A4D">
        <w:t>, ARMS</w:t>
      </w:r>
      <w:r>
        <w:t>.</w:t>
      </w:r>
    </w:p>
    <w:bookmarkEnd w:id="7"/>
    <w:p w14:paraId="32FB1302" w14:textId="77777777" w:rsidR="00C53743" w:rsidRDefault="00B501AD" w:rsidP="0066671B">
      <w:pPr>
        <w:pStyle w:val="Heading4"/>
      </w:pPr>
      <w:r w:rsidRPr="00B501AD">
        <w:t>6</w:t>
      </w:r>
      <w:r w:rsidRPr="00B501AD">
        <w:tab/>
        <w:t>Disclosure to government agencies</w:t>
      </w:r>
    </w:p>
    <w:p w14:paraId="6514F8A9" w14:textId="69C3D6B2" w:rsidR="00B501AD" w:rsidRDefault="009153AF" w:rsidP="00B501AD">
      <w:pPr>
        <w:pStyle w:val="NumberedFirstLevel"/>
        <w:numPr>
          <w:ilvl w:val="1"/>
          <w:numId w:val="18"/>
        </w:numPr>
      </w:pPr>
      <w:r>
        <w:t xml:space="preserve">As required by </w:t>
      </w:r>
      <w:r w:rsidR="00B501AD">
        <w:t xml:space="preserve">law, the University </w:t>
      </w:r>
      <w:r>
        <w:t xml:space="preserve">may </w:t>
      </w:r>
      <w:r w:rsidR="00B501AD">
        <w:t>disclose the personal information of staff</w:t>
      </w:r>
      <w:r w:rsidR="00C90F14">
        <w:t>, affiliates</w:t>
      </w:r>
      <w:r w:rsidR="00B501AD">
        <w:t xml:space="preserve"> and students to government agencies with responsibilities for social security and human services, </w:t>
      </w:r>
      <w:r w:rsidR="00BF3DF9">
        <w:t xml:space="preserve">national security, </w:t>
      </w:r>
      <w:r w:rsidR="00B501AD">
        <w:t xml:space="preserve">immigration and taxation. </w:t>
      </w:r>
    </w:p>
    <w:p w14:paraId="7094496D" w14:textId="4256BD4D" w:rsidR="00B501AD" w:rsidRDefault="00B501AD" w:rsidP="00B501AD">
      <w:pPr>
        <w:pStyle w:val="NumberedFirstLevel"/>
      </w:pPr>
      <w:r>
        <w:t>If there is no pre-existing administrative arrangement between the University and a government agency, disclosure may only occur in response to a formal written notice</w:t>
      </w:r>
      <w:r w:rsidR="00DB071A">
        <w:t xml:space="preserve"> or request</w:t>
      </w:r>
      <w:r>
        <w:t xml:space="preserve"> under the agency’s legislation.  </w:t>
      </w:r>
    </w:p>
    <w:p w14:paraId="7EED73D5" w14:textId="79B6E734" w:rsidR="009153AF" w:rsidRDefault="009153AF" w:rsidP="00B501AD">
      <w:pPr>
        <w:pStyle w:val="NumberedFirstLevel"/>
      </w:pPr>
      <w:r>
        <w:t xml:space="preserve">Staff </w:t>
      </w:r>
      <w:r w:rsidR="00C90F14">
        <w:t xml:space="preserve">or affiliates </w:t>
      </w:r>
      <w:r>
        <w:t xml:space="preserve">who receive a </w:t>
      </w:r>
      <w:r w:rsidR="00B501AD">
        <w:t>non-routine request for personal information from a government agency</w:t>
      </w:r>
      <w:r w:rsidR="0021778D">
        <w:t xml:space="preserve"> </w:t>
      </w:r>
      <w:r w:rsidR="00B501AD">
        <w:t xml:space="preserve">must contact the University’s Privacy Officer </w:t>
      </w:r>
      <w:r>
        <w:t>before responding.</w:t>
      </w:r>
    </w:p>
    <w:p w14:paraId="03D1D93B" w14:textId="78D0BF88" w:rsidR="00B501AD" w:rsidRDefault="009153AF" w:rsidP="009153AF">
      <w:pPr>
        <w:pStyle w:val="NormalNotes"/>
        <w:ind w:left="1287"/>
      </w:pPr>
      <w:r>
        <w:rPr>
          <w:b/>
        </w:rPr>
        <w:t>Note:</w:t>
      </w:r>
      <w:r>
        <w:rPr>
          <w:b/>
        </w:rPr>
        <w:tab/>
      </w:r>
      <w:r w:rsidR="00162947">
        <w:t>Use</w:t>
      </w:r>
      <w:r>
        <w:t xml:space="preserve">: </w:t>
      </w:r>
      <w:hyperlink r:id="rId18" w:history="1">
        <w:r w:rsidR="00B501AD" w:rsidRPr="00091229">
          <w:rPr>
            <w:rStyle w:val="Hyperlink"/>
          </w:rPr>
          <w:t>privacy.enquiries@sydney.edu.au</w:t>
        </w:r>
      </w:hyperlink>
      <w:r w:rsidR="00B501AD">
        <w:t>.</w:t>
      </w:r>
    </w:p>
    <w:p w14:paraId="24875F03" w14:textId="2BA3F565" w:rsidR="00B501AD" w:rsidRDefault="00B501AD" w:rsidP="00B501AD">
      <w:pPr>
        <w:pStyle w:val="Heading4"/>
      </w:pPr>
      <w:r w:rsidRPr="00B501AD">
        <w:lastRenderedPageBreak/>
        <w:t>7</w:t>
      </w:r>
      <w:r w:rsidRPr="00B501AD">
        <w:tab/>
        <w:t>Disclosure under subpoenas, warrants or other court orders</w:t>
      </w:r>
    </w:p>
    <w:p w14:paraId="7854C0DD" w14:textId="3ADE220B" w:rsidR="00AF4AE9" w:rsidRDefault="009153AF" w:rsidP="00AF4AE9">
      <w:pPr>
        <w:pStyle w:val="NumberedFirstLevel"/>
        <w:numPr>
          <w:ilvl w:val="1"/>
          <w:numId w:val="19"/>
        </w:numPr>
      </w:pPr>
      <w:r>
        <w:t xml:space="preserve">Staff </w:t>
      </w:r>
      <w:r w:rsidR="00C90F14">
        <w:t xml:space="preserve">or affiliates </w:t>
      </w:r>
      <w:r>
        <w:t>who receive s</w:t>
      </w:r>
      <w:r w:rsidR="00AF4AE9">
        <w:t>ubpoenas, warrants or other court orders must forward</w:t>
      </w:r>
      <w:r>
        <w:t xml:space="preserve"> them </w:t>
      </w:r>
      <w:r w:rsidR="00AF4AE9">
        <w:t xml:space="preserve">to the University’s Proper Officer who will </w:t>
      </w:r>
      <w:r w:rsidR="00E65F67">
        <w:t>manage</w:t>
      </w:r>
      <w:r w:rsidR="00FB4F6B">
        <w:t xml:space="preserve"> the response.</w:t>
      </w:r>
    </w:p>
    <w:p w14:paraId="6677E920" w14:textId="7CA36B9D" w:rsidR="00B501AD" w:rsidRDefault="00AF4AE9" w:rsidP="00AF4AE9">
      <w:pPr>
        <w:pStyle w:val="NumberedFirstLevel"/>
        <w:numPr>
          <w:ilvl w:val="0"/>
          <w:numId w:val="0"/>
        </w:numPr>
        <w:ind w:left="567" w:hanging="567"/>
      </w:pPr>
      <w:r>
        <w:t>(2)</w:t>
      </w:r>
      <w:r>
        <w:tab/>
        <w:t xml:space="preserve">Staff </w:t>
      </w:r>
      <w:r w:rsidR="00C90F14">
        <w:t xml:space="preserve">and affiliates </w:t>
      </w:r>
      <w:r>
        <w:t>must co</w:t>
      </w:r>
      <w:r w:rsidR="00601AA4">
        <w:t>-</w:t>
      </w:r>
      <w:r>
        <w:t>operate with any requests from the University’s Proper Officer as part of the University’s resp</w:t>
      </w:r>
      <w:r w:rsidR="00FB4F6B">
        <w:t>onse to a subpoena or warrant.</w:t>
      </w:r>
    </w:p>
    <w:p w14:paraId="6489225C" w14:textId="77777777" w:rsidR="00B501AD" w:rsidRDefault="00AF4AE9" w:rsidP="00AF4AE9">
      <w:pPr>
        <w:pStyle w:val="Heading4"/>
      </w:pPr>
      <w:r w:rsidRPr="00AF4AE9">
        <w:t>8</w:t>
      </w:r>
      <w:r w:rsidRPr="00AF4AE9">
        <w:tab/>
        <w:t>Disclosure to law enforcement agencies</w:t>
      </w:r>
    </w:p>
    <w:p w14:paraId="7BF822B9" w14:textId="41C328EB" w:rsidR="00AF4AE9" w:rsidRDefault="009153AF" w:rsidP="009F4253">
      <w:pPr>
        <w:pStyle w:val="NumberedFirstLevel"/>
        <w:numPr>
          <w:ilvl w:val="1"/>
          <w:numId w:val="34"/>
        </w:numPr>
      </w:pPr>
      <w:r>
        <w:t>Except in emergencies</w:t>
      </w:r>
      <w:r w:rsidR="00AF4AE9">
        <w:t xml:space="preserve">, </w:t>
      </w:r>
      <w:r>
        <w:t xml:space="preserve">a staff member </w:t>
      </w:r>
      <w:r w:rsidR="00C90F14">
        <w:t xml:space="preserve">or affiliate </w:t>
      </w:r>
      <w:r>
        <w:t xml:space="preserve">who receives a </w:t>
      </w:r>
      <w:r w:rsidR="00AF4AE9">
        <w:t>request (whether in person, written or over the phone) for personal information from a law enforcement officer or agency must forward</w:t>
      </w:r>
      <w:r>
        <w:t xml:space="preserve"> it </w:t>
      </w:r>
      <w:r w:rsidR="00AF4AE9">
        <w:t>to the University’s Proper Officer who will manage the response</w:t>
      </w:r>
      <w:r>
        <w:t>.</w:t>
      </w:r>
    </w:p>
    <w:p w14:paraId="79590458" w14:textId="2F9E9ACF" w:rsidR="00AF4AE9" w:rsidRDefault="006D1F68" w:rsidP="00AF4AE9">
      <w:pPr>
        <w:pStyle w:val="NumberedFirstLevel"/>
      </w:pPr>
      <w:r>
        <w:t>D</w:t>
      </w:r>
      <w:r w:rsidR="00AF4AE9">
        <w:t>ecisions to disclose information to law enforcement officers or agencies are made as follows:</w:t>
      </w:r>
    </w:p>
    <w:p w14:paraId="6708AEF5" w14:textId="0935EDA4" w:rsidR="00AF4AE9" w:rsidRDefault="00AF4AE9" w:rsidP="00AF4AE9">
      <w:pPr>
        <w:pStyle w:val="NumberedSecondLevel"/>
      </w:pPr>
      <w:r>
        <w:t xml:space="preserve">relating to students: by the </w:t>
      </w:r>
      <w:r w:rsidR="006D1F68" w:rsidRPr="006D1F68">
        <w:t>Pro Vice-Chancellor (Student Life) or the Executive Director Student Administration Services</w:t>
      </w:r>
      <w:r>
        <w:t>;</w:t>
      </w:r>
    </w:p>
    <w:p w14:paraId="532CEB1B" w14:textId="2D2E4E9A" w:rsidR="00AF4AE9" w:rsidRDefault="00AF4AE9" w:rsidP="00AF4AE9">
      <w:pPr>
        <w:pStyle w:val="NumberedSecondLevel"/>
      </w:pPr>
      <w:r>
        <w:t>relating to staff members: by the Chief Human Resources Officer;</w:t>
      </w:r>
    </w:p>
    <w:p w14:paraId="497E12D2" w14:textId="7EAD77F9" w:rsidR="009F4253" w:rsidRDefault="00AF4AE9" w:rsidP="009F4253">
      <w:pPr>
        <w:pStyle w:val="NumberedSecondLevel"/>
      </w:pPr>
      <w:r>
        <w:t xml:space="preserve">relating to members of the public: by the </w:t>
      </w:r>
      <w:r w:rsidR="00DE3078">
        <w:t>Manager, ARMS</w:t>
      </w:r>
      <w:r>
        <w:t>.</w:t>
      </w:r>
    </w:p>
    <w:p w14:paraId="4312578C" w14:textId="59BDD978" w:rsidR="00AF4AE9" w:rsidRDefault="00AF4AE9" w:rsidP="009F4253">
      <w:pPr>
        <w:pStyle w:val="Heading4"/>
      </w:pPr>
      <w:r w:rsidRPr="00AF4AE9">
        <w:t>9</w:t>
      </w:r>
      <w:r w:rsidRPr="00AF4AE9">
        <w:tab/>
        <w:t xml:space="preserve">Disclosure of </w:t>
      </w:r>
      <w:r w:rsidR="009F4253">
        <w:t>c</w:t>
      </w:r>
      <w:r w:rsidRPr="00AF4AE9">
        <w:t xml:space="preserve">losed </w:t>
      </w:r>
      <w:r w:rsidR="009F4253">
        <w:t>c</w:t>
      </w:r>
      <w:r w:rsidRPr="00AF4AE9">
        <w:t xml:space="preserve">ircuit </w:t>
      </w:r>
      <w:r w:rsidR="009F4253">
        <w:t>t</w:t>
      </w:r>
      <w:r w:rsidRPr="00AF4AE9">
        <w:t xml:space="preserve">elevision (CCTV) </w:t>
      </w:r>
      <w:r w:rsidR="009F4253">
        <w:t>v</w:t>
      </w:r>
      <w:r w:rsidRPr="00AF4AE9">
        <w:t>ision</w:t>
      </w:r>
    </w:p>
    <w:p w14:paraId="31B58009" w14:textId="43939084" w:rsidR="00AF4AE9" w:rsidRDefault="0021778D" w:rsidP="00AF4AE9">
      <w:pPr>
        <w:pStyle w:val="NumberedFirstLevel"/>
        <w:numPr>
          <w:ilvl w:val="1"/>
          <w:numId w:val="21"/>
        </w:numPr>
      </w:pPr>
      <w:r>
        <w:t xml:space="preserve">The University will only disclose </w:t>
      </w:r>
      <w:r w:rsidR="00AF4AE9">
        <w:t>CCTV vision that includes personal information (e</w:t>
      </w:r>
      <w:r>
        <w:t>.</w:t>
      </w:r>
      <w:r w:rsidR="00AF4AE9">
        <w:t xml:space="preserve">g. images of individuals) in accordance with </w:t>
      </w:r>
      <w:r w:rsidR="00FB4F6B">
        <w:t>clause 4 of these procedures.</w:t>
      </w:r>
    </w:p>
    <w:p w14:paraId="1AFD9B82" w14:textId="76CCCFDE" w:rsidR="00AF4AE9" w:rsidRDefault="0021778D" w:rsidP="00AF4AE9">
      <w:pPr>
        <w:pStyle w:val="NumberedFirstLevel"/>
      </w:pPr>
      <w:r>
        <w:t>Except in emergencies, the University’s Proper Officer will manage d</w:t>
      </w:r>
      <w:r w:rsidR="00AF4AE9">
        <w:t>isclosure of CCTV vision to a law enforcement agency</w:t>
      </w:r>
      <w:r>
        <w:t>.</w:t>
      </w:r>
    </w:p>
    <w:p w14:paraId="0E439396" w14:textId="77777777" w:rsidR="00AF4AE9" w:rsidRDefault="00AF4AE9" w:rsidP="00AF4AE9">
      <w:pPr>
        <w:pStyle w:val="Heading4"/>
      </w:pPr>
      <w:r w:rsidRPr="00AF4AE9">
        <w:t>10</w:t>
      </w:r>
      <w:r w:rsidRPr="00AF4AE9">
        <w:tab/>
        <w:t>Disclosure to external service providers</w:t>
      </w:r>
    </w:p>
    <w:p w14:paraId="51818E4C" w14:textId="02156257" w:rsidR="00AF4AE9" w:rsidRDefault="00AF4AE9" w:rsidP="00BF3DF9">
      <w:pPr>
        <w:pStyle w:val="NumberedFirstLevel"/>
        <w:numPr>
          <w:ilvl w:val="0"/>
          <w:numId w:val="0"/>
        </w:numPr>
      </w:pPr>
      <w:r>
        <w:t>Where an external service provider has access to personal information held by the University, the agreement under which the service provider is engaged must contain:</w:t>
      </w:r>
    </w:p>
    <w:p w14:paraId="723CEB46" w14:textId="77777777" w:rsidR="00AF4AE9" w:rsidRDefault="00AF4AE9" w:rsidP="00AF4AE9">
      <w:pPr>
        <w:pStyle w:val="NumberedSecondLevel"/>
      </w:pPr>
      <w:r>
        <w:t>a detailed description of the personal information that is to be provided to the service provider; and</w:t>
      </w:r>
    </w:p>
    <w:p w14:paraId="6D476130" w14:textId="77777777" w:rsidR="000F4D51" w:rsidRDefault="00AF4AE9" w:rsidP="0021778D">
      <w:pPr>
        <w:pStyle w:val="NumberedSecondLevel"/>
      </w:pPr>
      <w:r>
        <w:t xml:space="preserve">where the service provider holds personal information </w:t>
      </w:r>
      <w:r w:rsidR="0021778D">
        <w:t>obtained in the course of the engagement:</w:t>
      </w:r>
    </w:p>
    <w:p w14:paraId="2483A22D" w14:textId="3006E169" w:rsidR="000F4D51" w:rsidRDefault="00AF4AE9" w:rsidP="000F4D51">
      <w:pPr>
        <w:pStyle w:val="NumberedThirdLevel"/>
      </w:pPr>
      <w:r>
        <w:t xml:space="preserve">a </w:t>
      </w:r>
      <w:r w:rsidR="000F4D51">
        <w:t>requirement that the personal information be returned or securely destroyed at the end of the engagement;</w:t>
      </w:r>
      <w:r w:rsidR="00420C79">
        <w:t xml:space="preserve"> and</w:t>
      </w:r>
    </w:p>
    <w:p w14:paraId="5EB9B087" w14:textId="4227120B" w:rsidR="000F4D51" w:rsidRDefault="000F4D51" w:rsidP="000F4D51">
      <w:pPr>
        <w:pStyle w:val="NumberedThirdLevel"/>
      </w:pPr>
      <w:r>
        <w:t>specification of the manner in which it may be returned or destroyed</w:t>
      </w:r>
      <w:r w:rsidR="00420C79">
        <w:t>.</w:t>
      </w:r>
    </w:p>
    <w:p w14:paraId="6CF70265" w14:textId="43B9AB62" w:rsidR="00AF4AE9" w:rsidRDefault="00AF4AE9" w:rsidP="000F4D51">
      <w:pPr>
        <w:pStyle w:val="NormalNotes"/>
        <w:ind w:left="2421"/>
      </w:pPr>
      <w:r w:rsidRPr="000F4D51">
        <w:rPr>
          <w:b/>
        </w:rPr>
        <w:t xml:space="preserve">Note: </w:t>
      </w:r>
      <w:r>
        <w:tab/>
      </w:r>
      <w:r w:rsidR="00C542F6">
        <w:t>S</w:t>
      </w:r>
      <w:r>
        <w:t>tandard agreements containing these requirements</w:t>
      </w:r>
      <w:r w:rsidR="00C542F6">
        <w:t xml:space="preserve"> are found </w:t>
      </w:r>
      <w:hyperlink r:id="rId19" w:history="1">
        <w:r w:rsidR="00C542F6" w:rsidRPr="003D3828">
          <w:rPr>
            <w:rStyle w:val="Hyperlink"/>
          </w:rPr>
          <w:t>here</w:t>
        </w:r>
      </w:hyperlink>
      <w:r w:rsidR="003D3828">
        <w:t>.</w:t>
      </w:r>
      <w:r w:rsidR="00C542F6">
        <w:t xml:space="preserve"> </w:t>
      </w:r>
    </w:p>
    <w:p w14:paraId="5B23D553" w14:textId="77777777" w:rsidR="00AF4AE9" w:rsidRDefault="00AF4AE9" w:rsidP="00BD2129">
      <w:pPr>
        <w:pStyle w:val="Heading4"/>
      </w:pPr>
      <w:r w:rsidRPr="00AF4AE9">
        <w:lastRenderedPageBreak/>
        <w:t>11</w:t>
      </w:r>
      <w:r w:rsidRPr="00AF4AE9">
        <w:tab/>
        <w:t>Disclosure for research purposes</w:t>
      </w:r>
    </w:p>
    <w:p w14:paraId="08BBBC14" w14:textId="758F237E" w:rsidR="00AF4AE9" w:rsidRDefault="00AF4AE9" w:rsidP="00BD2129">
      <w:pPr>
        <w:pStyle w:val="NumberedFirstLevel"/>
        <w:keepNext/>
        <w:keepLines/>
        <w:numPr>
          <w:ilvl w:val="1"/>
          <w:numId w:val="26"/>
        </w:numPr>
      </w:pPr>
      <w:r>
        <w:t>Staff</w:t>
      </w:r>
      <w:r w:rsidR="00C90F14">
        <w:t>, affiliates</w:t>
      </w:r>
      <w:r>
        <w:t xml:space="preserve"> or students seeking to use or disclose health information </w:t>
      </w:r>
      <w:r w:rsidR="000F4D51">
        <w:t>o</w:t>
      </w:r>
      <w:r>
        <w:t xml:space="preserve">r personal information </w:t>
      </w:r>
      <w:r w:rsidR="00BF3DF9">
        <w:t xml:space="preserve">for research purposes </w:t>
      </w:r>
      <w:r>
        <w:t xml:space="preserve">without the </w:t>
      </w:r>
      <w:r w:rsidR="000F4D51">
        <w:t xml:space="preserve">relevant </w:t>
      </w:r>
      <w:r>
        <w:t>individual’s consent must comply with the relevant statutory guidelines issued by the NSW Privacy Commissioner.</w:t>
      </w:r>
    </w:p>
    <w:p w14:paraId="7EA3A35F" w14:textId="608BDC6F" w:rsidR="00AF4AE9" w:rsidRDefault="00AF4AE9" w:rsidP="00BD2129">
      <w:pPr>
        <w:pStyle w:val="NormalNotes"/>
        <w:keepNext/>
        <w:keepLines/>
        <w:ind w:left="1287"/>
      </w:pPr>
      <w:r w:rsidRPr="000F4D51">
        <w:rPr>
          <w:b/>
        </w:rPr>
        <w:t>Note:</w:t>
      </w:r>
      <w:r w:rsidR="000F4D51">
        <w:tab/>
      </w:r>
      <w:r>
        <w:t>See</w:t>
      </w:r>
      <w:r w:rsidR="000F4D51">
        <w:t>:</w:t>
      </w:r>
      <w:r>
        <w:t xml:space="preserve"> </w:t>
      </w:r>
      <w:hyperlink r:id="rId20" w:history="1">
        <w:r w:rsidRPr="00E65F67">
          <w:rPr>
            <w:rStyle w:val="Hyperlink"/>
            <w:i/>
          </w:rPr>
          <w:t>Statutory Guidelines on Research Health Records and Information Privacy Act (2002) NSW</w:t>
        </w:r>
      </w:hyperlink>
      <w:r w:rsidR="000F4D51">
        <w:t xml:space="preserve"> and </w:t>
      </w:r>
      <w:hyperlink r:id="rId21" w:history="1">
        <w:r w:rsidRPr="00E65F67">
          <w:rPr>
            <w:rStyle w:val="Hyperlink"/>
          </w:rPr>
          <w:t>S</w:t>
        </w:r>
        <w:r w:rsidRPr="00E65F67">
          <w:rPr>
            <w:rStyle w:val="Hyperlink"/>
            <w:i/>
          </w:rPr>
          <w:t xml:space="preserve">tatutory Guidelines on Research section 27B Privacy and Personal Information Protection Act </w:t>
        </w:r>
        <w:r w:rsidR="003A3D9F" w:rsidRPr="00E65F67">
          <w:rPr>
            <w:rStyle w:val="Hyperlink"/>
            <w:i/>
          </w:rPr>
          <w:t>19</w:t>
        </w:r>
        <w:r w:rsidR="003A3D9F">
          <w:rPr>
            <w:rStyle w:val="Hyperlink"/>
            <w:i/>
          </w:rPr>
          <w:t>9</w:t>
        </w:r>
        <w:r w:rsidR="003A3D9F" w:rsidRPr="00E65F67">
          <w:rPr>
            <w:rStyle w:val="Hyperlink"/>
            <w:i/>
          </w:rPr>
          <w:t>8</w:t>
        </w:r>
        <w:r w:rsidR="003A3D9F">
          <w:rPr>
            <w:rStyle w:val="Hyperlink"/>
            <w:i/>
          </w:rPr>
          <w:t xml:space="preserve"> </w:t>
        </w:r>
        <w:r w:rsidRPr="00E65F67">
          <w:rPr>
            <w:rStyle w:val="Hyperlink"/>
            <w:i/>
          </w:rPr>
          <w:t>(NSW)</w:t>
        </w:r>
      </w:hyperlink>
      <w:r w:rsidR="00E65F67">
        <w:t>.</w:t>
      </w:r>
    </w:p>
    <w:p w14:paraId="3A9E6FE6" w14:textId="70948635" w:rsidR="00E65F67" w:rsidRDefault="00E65F67" w:rsidP="00E65F67">
      <w:pPr>
        <w:pStyle w:val="NumberedFirstLevel"/>
      </w:pPr>
      <w:r w:rsidRPr="00E65F67">
        <w:t>Staff or students engaged in research subject to a grant from the National Health &amp; Medical Research Council or the Australian Research Council</w:t>
      </w:r>
      <w:r w:rsidR="00BF3DF9">
        <w:t>,</w:t>
      </w:r>
      <w:r w:rsidRPr="00E65F67">
        <w:t xml:space="preserve"> </w:t>
      </w:r>
      <w:r w:rsidR="00601AA4">
        <w:t>and who</w:t>
      </w:r>
      <w:r w:rsidRPr="00E65F67">
        <w:t xml:space="preserve"> seek to use or disclose health or personal information</w:t>
      </w:r>
      <w:r w:rsidR="00BF3DF9">
        <w:t>,</w:t>
      </w:r>
      <w:r w:rsidRPr="00E65F67">
        <w:t xml:space="preserve"> must comply with the relevant statutory guidelines approved by the Commonwealth </w:t>
      </w:r>
      <w:r w:rsidR="00131C3E">
        <w:t>Information</w:t>
      </w:r>
      <w:r w:rsidR="00131C3E" w:rsidRPr="00E65F67">
        <w:t xml:space="preserve"> </w:t>
      </w:r>
      <w:r w:rsidRPr="00E65F67">
        <w:t>Commissioner.</w:t>
      </w:r>
    </w:p>
    <w:p w14:paraId="32062281" w14:textId="503E3A16" w:rsidR="00E65F67" w:rsidRPr="00E65F67" w:rsidRDefault="00E65F67" w:rsidP="00601AA4">
      <w:pPr>
        <w:pStyle w:val="NormalNotes"/>
        <w:ind w:left="1287"/>
      </w:pPr>
      <w:r>
        <w:rPr>
          <w:b/>
        </w:rPr>
        <w:t>Note:</w:t>
      </w:r>
      <w:r>
        <w:rPr>
          <w:b/>
        </w:rPr>
        <w:tab/>
      </w:r>
      <w:r>
        <w:t xml:space="preserve">See: </w:t>
      </w:r>
      <w:hyperlink r:id="rId22" w:history="1">
        <w:r w:rsidRPr="00E65F67">
          <w:rPr>
            <w:rStyle w:val="Hyperlink"/>
            <w:i/>
          </w:rPr>
          <w:t>Guidelines under section 95 of the Privacy Act 1988</w:t>
        </w:r>
      </w:hyperlink>
      <w:r>
        <w:rPr>
          <w:i/>
        </w:rPr>
        <w:t xml:space="preserve"> </w:t>
      </w:r>
      <w:r>
        <w:t xml:space="preserve">and </w:t>
      </w:r>
      <w:hyperlink r:id="rId23" w:history="1">
        <w:r w:rsidR="00237FE3" w:rsidRPr="00237FE3">
          <w:rPr>
            <w:rStyle w:val="Hyperlink"/>
            <w:i/>
          </w:rPr>
          <w:t>Guidelines approved under section 95A of the Privacy Act 1988</w:t>
        </w:r>
      </w:hyperlink>
      <w:r w:rsidR="00237FE3">
        <w:rPr>
          <w:i/>
        </w:rPr>
        <w:t xml:space="preserve">. </w:t>
      </w:r>
    </w:p>
    <w:p w14:paraId="66BF70CA" w14:textId="0CED9113" w:rsidR="00AF4AE9" w:rsidRDefault="00AF4AE9" w:rsidP="00AF4AE9">
      <w:pPr>
        <w:pStyle w:val="Heading4"/>
      </w:pPr>
      <w:r w:rsidRPr="00AF4AE9">
        <w:t>12</w:t>
      </w:r>
      <w:r w:rsidRPr="00AF4AE9">
        <w:tab/>
        <w:t xml:space="preserve">Disclosure to other </w:t>
      </w:r>
      <w:r w:rsidR="00A606D5">
        <w:t>external</w:t>
      </w:r>
      <w:r w:rsidR="00A606D5" w:rsidRPr="00AF4AE9">
        <w:t xml:space="preserve"> </w:t>
      </w:r>
      <w:r w:rsidRPr="00AF4AE9">
        <w:t>parties</w:t>
      </w:r>
    </w:p>
    <w:p w14:paraId="5956EA32" w14:textId="669037BB" w:rsidR="00AF4AE9" w:rsidRDefault="00AF4AE9" w:rsidP="00AF4AE9">
      <w:pPr>
        <w:pStyle w:val="NumberedFirstLevel"/>
        <w:numPr>
          <w:ilvl w:val="1"/>
          <w:numId w:val="24"/>
        </w:numPr>
      </w:pPr>
      <w:r>
        <w:t xml:space="preserve">The University will not disclose personal information </w:t>
      </w:r>
      <w:r w:rsidR="000F4D51">
        <w:t>without one or more of</w:t>
      </w:r>
      <w:r>
        <w:t>:</w:t>
      </w:r>
    </w:p>
    <w:p w14:paraId="766360D2" w14:textId="45B6E9E8" w:rsidR="00AF4AE9" w:rsidRDefault="00AF4AE9" w:rsidP="00AF4AE9">
      <w:pPr>
        <w:pStyle w:val="NumberedSecondLevel"/>
      </w:pPr>
      <w:r>
        <w:t xml:space="preserve">the express consent of the subject of the information; </w:t>
      </w:r>
    </w:p>
    <w:p w14:paraId="5D863E44" w14:textId="2D340E40" w:rsidR="00AF4AE9" w:rsidRDefault="000F4D51" w:rsidP="000F4D51">
      <w:pPr>
        <w:pStyle w:val="NumberedSecondLevel"/>
      </w:pPr>
      <w:r>
        <w:t xml:space="preserve">being </w:t>
      </w:r>
      <w:r w:rsidR="00AF4AE9">
        <w:t>required or authorised by law</w:t>
      </w:r>
      <w:r>
        <w:t xml:space="preserve"> to do so</w:t>
      </w:r>
      <w:r w:rsidR="00AF4AE9">
        <w:t>; or</w:t>
      </w:r>
    </w:p>
    <w:p w14:paraId="020F98CA" w14:textId="234C84E3" w:rsidR="00AF4AE9" w:rsidRDefault="000F4D51" w:rsidP="00AF4AE9">
      <w:pPr>
        <w:pStyle w:val="NumberedSecondLevel"/>
      </w:pPr>
      <w:r>
        <w:t xml:space="preserve">being properly served with </w:t>
      </w:r>
      <w:r w:rsidR="00AF4AE9">
        <w:t>a subpoena or similar court order</w:t>
      </w:r>
      <w:r>
        <w:t xml:space="preserve"> to do so.</w:t>
      </w:r>
    </w:p>
    <w:p w14:paraId="2B6527F2" w14:textId="6B5B9E4E" w:rsidR="00AF4AE9" w:rsidRDefault="00AF4AE9" w:rsidP="00AF4AE9">
      <w:pPr>
        <w:pStyle w:val="NumberedFirstLevel"/>
      </w:pPr>
      <w:r>
        <w:t xml:space="preserve">Staff </w:t>
      </w:r>
      <w:r w:rsidR="00C90F14">
        <w:t xml:space="preserve">or affiliates </w:t>
      </w:r>
      <w:r>
        <w:t>who receive requests from solicitors or insurance companies should direct these to the University’s Proper Officer.</w:t>
      </w:r>
    </w:p>
    <w:p w14:paraId="62BA28FC" w14:textId="4992B169" w:rsidR="00AF4AE9" w:rsidRDefault="00AF4AE9" w:rsidP="00AF4AE9">
      <w:pPr>
        <w:pStyle w:val="NumberedFirstLevel"/>
      </w:pPr>
      <w:r>
        <w:t xml:space="preserve">Requests </w:t>
      </w:r>
      <w:r w:rsidR="000F4D51">
        <w:t xml:space="preserve">about </w:t>
      </w:r>
      <w:r>
        <w:t xml:space="preserve">deceased individuals should be directed to the University’s Proper Officer.  </w:t>
      </w:r>
    </w:p>
    <w:p w14:paraId="1AC333A0" w14:textId="50C4BE1C" w:rsidR="00AF4AE9" w:rsidRDefault="000F4D51" w:rsidP="00AF4AE9">
      <w:pPr>
        <w:pStyle w:val="NumberedFirstLevel"/>
      </w:pPr>
      <w:r>
        <w:t xml:space="preserve">Staff </w:t>
      </w:r>
      <w:r w:rsidR="00C90F14">
        <w:t xml:space="preserve">or affiliates </w:t>
      </w:r>
      <w:r>
        <w:t>must not provide a</w:t>
      </w:r>
      <w:r w:rsidR="00AF4AE9">
        <w:t xml:space="preserve"> reference, for example for an employment application, unless </w:t>
      </w:r>
      <w:r>
        <w:t xml:space="preserve">the </w:t>
      </w:r>
      <w:r w:rsidR="00AF4AE9">
        <w:t>individual</w:t>
      </w:r>
      <w:r>
        <w:t xml:space="preserve"> the subject of that reference</w:t>
      </w:r>
      <w:r w:rsidR="00AF4AE9">
        <w:t>:</w:t>
      </w:r>
    </w:p>
    <w:p w14:paraId="4DA04010" w14:textId="26BE0F64" w:rsidR="00AF4AE9" w:rsidRDefault="00AF4AE9" w:rsidP="00AF4AE9">
      <w:pPr>
        <w:pStyle w:val="NumberedSecondLevel"/>
      </w:pPr>
      <w:r>
        <w:t>has requested a reference</w:t>
      </w:r>
      <w:r w:rsidR="000F4D51">
        <w:t>;</w:t>
      </w:r>
      <w:r>
        <w:t xml:space="preserve"> or </w:t>
      </w:r>
    </w:p>
    <w:p w14:paraId="17C695D5" w14:textId="08743907" w:rsidR="00AF4AE9" w:rsidRDefault="00AF4AE9" w:rsidP="00AF4AE9">
      <w:pPr>
        <w:pStyle w:val="NumberedSecondLevel"/>
      </w:pPr>
      <w:r>
        <w:t>has given consent to the disclosure of their personal information</w:t>
      </w:r>
      <w:r w:rsidR="00601AA4">
        <w:t>.</w:t>
      </w:r>
    </w:p>
    <w:p w14:paraId="386ED50F" w14:textId="6BBE409E" w:rsidR="00AF4AE9" w:rsidRDefault="000F4D51" w:rsidP="000F4D51">
      <w:pPr>
        <w:pStyle w:val="NumberedFirstLevel"/>
      </w:pPr>
      <w:r>
        <w:t xml:space="preserve">The University will </w:t>
      </w:r>
      <w:r w:rsidR="00C90F14">
        <w:t xml:space="preserve">only </w:t>
      </w:r>
      <w:r>
        <w:t>disclose p</w:t>
      </w:r>
      <w:r w:rsidR="00AF4AE9">
        <w:t xml:space="preserve">ersonal information of students who are minors to their parents </w:t>
      </w:r>
      <w:r>
        <w:t xml:space="preserve">or guardians </w:t>
      </w:r>
      <w:r w:rsidR="00AF4AE9">
        <w:t xml:space="preserve">in accordance with the privacy acts, the </w:t>
      </w:r>
      <w:r>
        <w:t>p</w:t>
      </w:r>
      <w:r w:rsidR="00AF4AE9">
        <w:t>olicy and these procedures</w:t>
      </w:r>
      <w:r w:rsidR="00601AA4">
        <w:t>.</w:t>
      </w:r>
    </w:p>
    <w:p w14:paraId="0EF081A2" w14:textId="779E9599" w:rsidR="00AF4AE9" w:rsidRDefault="002C0D0F" w:rsidP="00C90F14">
      <w:pPr>
        <w:pStyle w:val="NumberedSecondLevel"/>
      </w:pPr>
      <w:r>
        <w:t xml:space="preserve">External </w:t>
      </w:r>
      <w:r w:rsidR="00AF4AE9">
        <w:t>parties concern</w:t>
      </w:r>
      <w:r w:rsidR="00C90F14">
        <w:t>ed</w:t>
      </w:r>
      <w:r w:rsidR="00AF4AE9">
        <w:t xml:space="preserve"> that there may be a serious and imminent threat to life or health of </w:t>
      </w:r>
      <w:r w:rsidR="00C90F14">
        <w:t xml:space="preserve">a </w:t>
      </w:r>
      <w:r w:rsidR="00AF4AE9">
        <w:t xml:space="preserve">student should be directed to the University’s </w:t>
      </w:r>
      <w:hyperlink r:id="rId24" w:history="1">
        <w:r w:rsidR="00AF4AE9" w:rsidRPr="00352E19">
          <w:rPr>
            <w:rStyle w:val="Hyperlink"/>
          </w:rPr>
          <w:t>Student Support Services</w:t>
        </w:r>
      </w:hyperlink>
      <w:r w:rsidR="00AF4AE9">
        <w:t>.</w:t>
      </w:r>
    </w:p>
    <w:p w14:paraId="3BA9EDE2" w14:textId="5DC5ABF1" w:rsidR="00AF4AE9" w:rsidRDefault="00AF4AE9" w:rsidP="00AF4AE9">
      <w:pPr>
        <w:pStyle w:val="Heading4"/>
      </w:pPr>
      <w:r w:rsidRPr="00AF4AE9">
        <w:t>13</w:t>
      </w:r>
      <w:r w:rsidRPr="00AF4AE9">
        <w:tab/>
        <w:t xml:space="preserve">Unauthorised disclosure </w:t>
      </w:r>
    </w:p>
    <w:p w14:paraId="5B7A09D5" w14:textId="69E7139D" w:rsidR="00601AA4" w:rsidRDefault="00AF4AE9" w:rsidP="00AF4AE9">
      <w:pPr>
        <w:pStyle w:val="NumberedFirstLevel"/>
        <w:numPr>
          <w:ilvl w:val="1"/>
          <w:numId w:val="25"/>
        </w:numPr>
      </w:pPr>
      <w:r>
        <w:t>Staff</w:t>
      </w:r>
      <w:r w:rsidR="00C90F14">
        <w:t xml:space="preserve">, </w:t>
      </w:r>
      <w:r w:rsidR="00DB071A">
        <w:t>affiliates</w:t>
      </w:r>
      <w:r>
        <w:t xml:space="preserve"> or students who become aware of an unauthorised disclosure of personal information involving an </w:t>
      </w:r>
      <w:r w:rsidR="00C90F14">
        <w:t xml:space="preserve">information or communications technology </w:t>
      </w:r>
      <w:r>
        <w:t>resource must immediately report it to the ICT Helpdesk</w:t>
      </w:r>
      <w:r w:rsidR="00601AA4">
        <w:t>.</w:t>
      </w:r>
    </w:p>
    <w:p w14:paraId="6038C941" w14:textId="4AFA63F6" w:rsidR="00C90F14" w:rsidRDefault="00601AA4" w:rsidP="00601AA4">
      <w:pPr>
        <w:pStyle w:val="NormalNotes"/>
        <w:ind w:left="1287"/>
      </w:pPr>
      <w:r>
        <w:rPr>
          <w:b/>
        </w:rPr>
        <w:t>Note:</w:t>
      </w:r>
      <w:r>
        <w:rPr>
          <w:b/>
        </w:rPr>
        <w:tab/>
      </w:r>
      <w:r w:rsidR="00352E19">
        <w:t>Use</w:t>
      </w:r>
      <w:r w:rsidR="00A464AA">
        <w:t xml:space="preserve"> </w:t>
      </w:r>
      <w:hyperlink r:id="rId25" w:history="1">
        <w:r w:rsidR="00A464AA" w:rsidRPr="00D640F3">
          <w:rPr>
            <w:rStyle w:val="Hyperlink"/>
          </w:rPr>
          <w:t>ict.support@sydney.edu.au</w:t>
        </w:r>
      </w:hyperlink>
      <w:r w:rsidR="00A464AA">
        <w:t xml:space="preserve"> or (02) 9351 6000</w:t>
      </w:r>
      <w:r w:rsidR="00AF4AE9">
        <w:t xml:space="preserve">.  </w:t>
      </w:r>
    </w:p>
    <w:p w14:paraId="0117BC44" w14:textId="754659A5" w:rsidR="00AF4AE9" w:rsidRDefault="00AF4AE9" w:rsidP="00BD2129">
      <w:pPr>
        <w:pStyle w:val="NumberedFirstLevel"/>
        <w:keepNext/>
        <w:keepLines/>
      </w:pPr>
      <w:r>
        <w:lastRenderedPageBreak/>
        <w:t>I</w:t>
      </w:r>
      <w:r w:rsidR="000C2B20">
        <w:t>nformation</w:t>
      </w:r>
      <w:r w:rsidR="00C90F14">
        <w:t xml:space="preserve"> and </w:t>
      </w:r>
      <w:r>
        <w:t>C</w:t>
      </w:r>
      <w:r w:rsidR="00C90F14">
        <w:t xml:space="preserve">ommunications </w:t>
      </w:r>
      <w:r>
        <w:t>T</w:t>
      </w:r>
      <w:r w:rsidR="00C90F14">
        <w:t>echnology staff</w:t>
      </w:r>
      <w:r>
        <w:t xml:space="preserve"> must notify</w:t>
      </w:r>
      <w:r w:rsidR="00352E19">
        <w:t xml:space="preserve"> the Manager, </w:t>
      </w:r>
      <w:r w:rsidR="001B4082">
        <w:t>ARMS of</w:t>
      </w:r>
      <w:r>
        <w:t xml:space="preserve"> </w:t>
      </w:r>
      <w:r w:rsidR="00C90F14">
        <w:t xml:space="preserve">any actual or potential </w:t>
      </w:r>
      <w:r w:rsidR="00F62E12">
        <w:t xml:space="preserve">unauthorised disclosure of personal information </w:t>
      </w:r>
      <w:r w:rsidR="00C90F14">
        <w:t>as soon as possible after becoming aware of it</w:t>
      </w:r>
      <w:r>
        <w:t xml:space="preserve">.  </w:t>
      </w:r>
    </w:p>
    <w:p w14:paraId="5D4B8B2E" w14:textId="45A55F86" w:rsidR="004B33F4" w:rsidRDefault="004B33F4" w:rsidP="00BD2129">
      <w:pPr>
        <w:pStyle w:val="NormalNotes"/>
        <w:keepNext/>
        <w:keepLines/>
        <w:ind w:left="1287"/>
      </w:pPr>
      <w:r w:rsidRPr="004B33F4">
        <w:rPr>
          <w:b/>
          <w:bCs/>
        </w:rPr>
        <w:t>Note:</w:t>
      </w:r>
      <w:r>
        <w:rPr>
          <w:b/>
          <w:bCs/>
        </w:rPr>
        <w:tab/>
      </w:r>
      <w:hyperlink r:id="rId26" w:history="1">
        <w:r>
          <w:rPr>
            <w:rStyle w:val="Hyperlink"/>
          </w:rPr>
          <w:t>privacy.enquiries@sydney.edu.au</w:t>
        </w:r>
      </w:hyperlink>
      <w:r>
        <w:t xml:space="preserve">. </w:t>
      </w:r>
    </w:p>
    <w:p w14:paraId="7CAC7DCA" w14:textId="3A08C36F" w:rsidR="006549B1" w:rsidRPr="00380D1A" w:rsidRDefault="006549B1" w:rsidP="00380D1A">
      <w:pPr>
        <w:pStyle w:val="Heading4"/>
      </w:pPr>
      <w:r w:rsidRPr="00380D1A">
        <w:t xml:space="preserve">14 </w:t>
      </w:r>
      <w:r w:rsidR="00380D1A">
        <w:tab/>
      </w:r>
      <w:r w:rsidRPr="00380D1A">
        <w:t>Eligible data breach</w:t>
      </w:r>
    </w:p>
    <w:p w14:paraId="51147549" w14:textId="77777777" w:rsidR="007A1B5E" w:rsidRDefault="007A1B5E" w:rsidP="007A1B5E">
      <w:pPr>
        <w:pStyle w:val="NumberedFirstLevel"/>
        <w:numPr>
          <w:ilvl w:val="1"/>
          <w:numId w:val="36"/>
        </w:numPr>
      </w:pPr>
      <w:r>
        <w:t>An eligible data breach is one where a reasonable person would conclude that disclosure of the information is likely to result in serious harm to an individual to whom the information relates.</w:t>
      </w:r>
    </w:p>
    <w:p w14:paraId="05A8D4C4" w14:textId="1FEF1478" w:rsidR="00420C79" w:rsidRDefault="006549B1" w:rsidP="00C70D2D">
      <w:pPr>
        <w:pStyle w:val="NumberedFirstLevel"/>
        <w:numPr>
          <w:ilvl w:val="1"/>
          <w:numId w:val="36"/>
        </w:numPr>
      </w:pPr>
      <w:r>
        <w:t xml:space="preserve">An </w:t>
      </w:r>
      <w:r w:rsidR="003871E7">
        <w:t>eligible</w:t>
      </w:r>
      <w:r>
        <w:t xml:space="preserve"> data breach </w:t>
      </w:r>
      <w:r w:rsidR="00420C79">
        <w:t>requires notification to one or more of:</w:t>
      </w:r>
    </w:p>
    <w:p w14:paraId="38F72178" w14:textId="31F10953" w:rsidR="00420C79" w:rsidRDefault="00420C79" w:rsidP="00420C79">
      <w:pPr>
        <w:pStyle w:val="NumberedSecondLevel"/>
        <w:numPr>
          <w:ilvl w:val="2"/>
          <w:numId w:val="1"/>
        </w:numPr>
        <w:tabs>
          <w:tab w:val="clear" w:pos="1134"/>
          <w:tab w:val="num" w:pos="1107"/>
        </w:tabs>
        <w:ind w:left="1107" w:right="-704"/>
      </w:pPr>
      <w:r>
        <w:t xml:space="preserve">external stakeholders, such as the NSW Privacy Commissioner or the Commonwealth </w:t>
      </w:r>
      <w:r w:rsidR="00484335">
        <w:t xml:space="preserve">Information </w:t>
      </w:r>
      <w:r>
        <w:t>Commissioner; or</w:t>
      </w:r>
    </w:p>
    <w:p w14:paraId="55362CF6" w14:textId="77777777" w:rsidR="007A1B5E" w:rsidRDefault="00420C79" w:rsidP="007A1B5E">
      <w:pPr>
        <w:pStyle w:val="NumberedSecondLevel"/>
      </w:pPr>
      <w:r>
        <w:t>internal stakeholders, such as those impacted by the breach and other University stakeholders.</w:t>
      </w:r>
      <w:r w:rsidR="007A1B5E" w:rsidRPr="007A1B5E">
        <w:t xml:space="preserve"> </w:t>
      </w:r>
    </w:p>
    <w:p w14:paraId="78499D0E" w14:textId="7CBEB56F" w:rsidR="007A1B5E" w:rsidRDefault="007A1B5E" w:rsidP="0019351E">
      <w:pPr>
        <w:pStyle w:val="NumberedFirstLevel"/>
        <w:numPr>
          <w:ilvl w:val="1"/>
          <w:numId w:val="36"/>
        </w:numPr>
      </w:pPr>
      <w:r>
        <w:t>T</w:t>
      </w:r>
      <w:r w:rsidRPr="00380D1A">
        <w:t xml:space="preserve">he </w:t>
      </w:r>
      <w:hyperlink r:id="rId27" w:history="1">
        <w:r w:rsidRPr="00BD2129">
          <w:rPr>
            <w:rStyle w:val="Hyperlink"/>
            <w:i/>
            <w:iCs/>
          </w:rPr>
          <w:t>Data Breach Policy 2023</w:t>
        </w:r>
      </w:hyperlink>
      <w:r w:rsidRPr="00380D1A">
        <w:t xml:space="preserve"> </w:t>
      </w:r>
      <w:r>
        <w:t>specifies</w:t>
      </w:r>
      <w:r w:rsidR="0019351E">
        <w:t xml:space="preserve"> </w:t>
      </w:r>
      <w:r>
        <w:t>the process for</w:t>
      </w:r>
      <w:r w:rsidRPr="00380D1A">
        <w:t xml:space="preserve"> managing </w:t>
      </w:r>
      <w:r>
        <w:t>eligible data</w:t>
      </w:r>
      <w:r w:rsidRPr="00380D1A">
        <w:t xml:space="preserve"> breaches</w:t>
      </w:r>
      <w:r w:rsidR="0019351E">
        <w:t xml:space="preserve"> involving personal or health information held by the University</w:t>
      </w:r>
      <w:r w:rsidRPr="00380D1A">
        <w:t>.</w:t>
      </w:r>
      <w:r>
        <w:t xml:space="preserve"> </w:t>
      </w:r>
    </w:p>
    <w:p w14:paraId="3B514A37" w14:textId="065F5C8B" w:rsidR="0010782A" w:rsidRDefault="0010782A" w:rsidP="0010782A">
      <w:pPr>
        <w:pStyle w:val="Heading4"/>
      </w:pPr>
      <w:r w:rsidRPr="0010782A">
        <w:t xml:space="preserve">13 </w:t>
      </w:r>
      <w:r>
        <w:tab/>
      </w:r>
      <w:r w:rsidRPr="0010782A">
        <w:t xml:space="preserve">Rescissions and replacements </w:t>
      </w:r>
    </w:p>
    <w:p w14:paraId="50441371" w14:textId="6CF84A33" w:rsidR="00681FE9" w:rsidRPr="00681FE9" w:rsidRDefault="0010782A" w:rsidP="00EF768B">
      <w:pPr>
        <w:pStyle w:val="NumberedFirstLevel"/>
        <w:numPr>
          <w:ilvl w:val="0"/>
          <w:numId w:val="0"/>
        </w:numPr>
      </w:pPr>
      <w:r>
        <w:t>These procedures</w:t>
      </w:r>
      <w:r w:rsidRPr="0010782A">
        <w:t xml:space="preserve"> replace the </w:t>
      </w:r>
      <w:r>
        <w:t>Privacy Procedures 2018</w:t>
      </w:r>
      <w:r w:rsidRPr="0010782A">
        <w:t xml:space="preserve"> which </w:t>
      </w:r>
      <w:r>
        <w:t>are</w:t>
      </w:r>
      <w:r w:rsidRPr="0010782A">
        <w:t xml:space="preserve"> rescinded from the commencement </w:t>
      </w:r>
      <w:r w:rsidR="00C77DFB" w:rsidRPr="0010782A">
        <w:t xml:space="preserve">date </w:t>
      </w:r>
      <w:r w:rsidRPr="0010782A">
        <w:t>of this document</w:t>
      </w:r>
      <w:r w:rsidR="00A62E0D">
        <w:t>.</w:t>
      </w:r>
    </w:p>
    <w:p w14:paraId="66A8850C" w14:textId="77777777" w:rsidR="00681FE9" w:rsidRDefault="00681FE9" w:rsidP="00681FE9">
      <w:pPr>
        <w:pStyle w:val="NumberedSecondLevel"/>
        <w:numPr>
          <w:ilvl w:val="0"/>
          <w:numId w:val="0"/>
        </w:numPr>
        <w:ind w:left="1134"/>
        <w:rPr>
          <w:lang w:eastAsia="en-AU"/>
        </w:rPr>
      </w:pPr>
    </w:p>
    <w:p w14:paraId="24C7B6CA" w14:textId="0DD0E224" w:rsidR="00E57E69" w:rsidRDefault="00E57E69" w:rsidP="00E57E69">
      <w:pPr>
        <w:pStyle w:val="Heading2"/>
      </w:pPr>
      <w:bookmarkStart w:id="8" w:name="_Toc138496788"/>
      <w:bookmarkStart w:id="9" w:name="_Toc443380773"/>
      <w:r>
        <w:t>Notes</w:t>
      </w:r>
      <w:bookmarkEnd w:id="8"/>
      <w:bookmarkEnd w:id="9"/>
    </w:p>
    <w:p w14:paraId="1CBC3B93" w14:textId="5B16F3D5" w:rsidR="006A4766" w:rsidRPr="00AF4AE9" w:rsidRDefault="00AF4AE9" w:rsidP="00C53743">
      <w:pPr>
        <w:pStyle w:val="NormalAdministrativeNotes"/>
        <w:rPr>
          <w:b/>
        </w:rPr>
      </w:pPr>
      <w:r w:rsidRPr="00AF4AE9">
        <w:rPr>
          <w:b/>
        </w:rPr>
        <w:t xml:space="preserve">Privacy </w:t>
      </w:r>
      <w:r w:rsidR="005E51C3" w:rsidRPr="00AF4AE9">
        <w:rPr>
          <w:b/>
        </w:rPr>
        <w:t>Procedures</w:t>
      </w:r>
      <w:r w:rsidR="00E57E69" w:rsidRPr="00AF4AE9">
        <w:rPr>
          <w:b/>
        </w:rPr>
        <w:t xml:space="preserve"> </w:t>
      </w:r>
      <w:r w:rsidR="00380D1A">
        <w:rPr>
          <w:b/>
        </w:rPr>
        <w:t>2023</w:t>
      </w:r>
    </w:p>
    <w:p w14:paraId="7C464838" w14:textId="4A350CA1" w:rsidR="00E57E69" w:rsidRPr="00C53743" w:rsidRDefault="00E57E69" w:rsidP="00C53743">
      <w:pPr>
        <w:pStyle w:val="NormalAdministrativeNotes"/>
      </w:pPr>
      <w:r w:rsidRPr="00C53743">
        <w:t xml:space="preserve">Date adopted: </w:t>
      </w:r>
      <w:r w:rsidR="00C53743" w:rsidRPr="00C53743">
        <w:tab/>
      </w:r>
      <w:r w:rsidR="00BD2129">
        <w:t>20</w:t>
      </w:r>
      <w:r w:rsidR="003D0BCA">
        <w:t xml:space="preserve"> </w:t>
      </w:r>
      <w:r w:rsidR="002F467E">
        <w:t>December 2023</w:t>
      </w:r>
    </w:p>
    <w:p w14:paraId="4F1B1154" w14:textId="5D1A3A9A" w:rsidR="005253B1" w:rsidRDefault="00E57E69" w:rsidP="005253B1">
      <w:pPr>
        <w:pStyle w:val="NormalAdministrativeNotes"/>
      </w:pPr>
      <w:r>
        <w:t>Date commenced:</w:t>
      </w:r>
      <w:r w:rsidR="00C53743">
        <w:tab/>
      </w:r>
      <w:r w:rsidR="00BD2129">
        <w:t>20</w:t>
      </w:r>
      <w:r w:rsidR="002F467E">
        <w:t xml:space="preserve"> December 2023</w:t>
      </w:r>
    </w:p>
    <w:p w14:paraId="37FFE43E" w14:textId="219D878A" w:rsidR="00AC3930" w:rsidRPr="00C53743" w:rsidRDefault="00C83B27" w:rsidP="002F467E">
      <w:pPr>
        <w:pStyle w:val="NormalAdministrativeNotes"/>
      </w:pPr>
      <w:r>
        <w:t>Date amended:</w:t>
      </w:r>
      <w:r>
        <w:tab/>
      </w:r>
      <w:r w:rsidR="00AC3930">
        <w:tab/>
      </w:r>
    </w:p>
    <w:p w14:paraId="5C7496FC" w14:textId="2D27A374" w:rsidR="00E57E69" w:rsidRDefault="00966E96" w:rsidP="00C53743">
      <w:pPr>
        <w:pStyle w:val="NormalAdministrativeNotes"/>
      </w:pPr>
      <w:r>
        <w:t>Original a</w:t>
      </w:r>
      <w:r w:rsidR="00E57E69">
        <w:t>dministrator:</w:t>
      </w:r>
      <w:r w:rsidR="00C53743">
        <w:tab/>
      </w:r>
      <w:r w:rsidR="000C2B20">
        <w:t>Manager, Archives and Records Management Services</w:t>
      </w:r>
    </w:p>
    <w:p w14:paraId="1D1023B2" w14:textId="513AD657" w:rsidR="00966E96" w:rsidRPr="00017830" w:rsidRDefault="00966E96" w:rsidP="00C53743">
      <w:pPr>
        <w:pStyle w:val="NormalAdministrativeNotes"/>
      </w:pPr>
      <w:r>
        <w:t xml:space="preserve">Current document owner: </w:t>
      </w:r>
      <w:r w:rsidR="00480197">
        <w:t>Chief Governance Officer</w:t>
      </w:r>
    </w:p>
    <w:p w14:paraId="7FD128B8" w14:textId="121EA290" w:rsidR="00E57E69" w:rsidRDefault="00E57E69" w:rsidP="00C53743">
      <w:pPr>
        <w:pStyle w:val="NormalAdministrativeNotes"/>
      </w:pPr>
      <w:r>
        <w:t xml:space="preserve">Review date: </w:t>
      </w:r>
      <w:r w:rsidR="00C53743">
        <w:tab/>
      </w:r>
      <w:r w:rsidR="00BD2129">
        <w:t>20</w:t>
      </w:r>
      <w:r w:rsidR="002F467E">
        <w:t xml:space="preserve"> December </w:t>
      </w:r>
      <w:r w:rsidR="00895009">
        <w:t>202</w:t>
      </w:r>
      <w:r w:rsidR="002F467E">
        <w:t>8</w:t>
      </w:r>
    </w:p>
    <w:p w14:paraId="16141F9F" w14:textId="2F193EB9" w:rsidR="000970ED" w:rsidRPr="00017830" w:rsidRDefault="00895009" w:rsidP="00C53743">
      <w:pPr>
        <w:pStyle w:val="NormalAdministrativeNotes"/>
      </w:pPr>
      <w:r>
        <w:t>Rescinded documents</w:t>
      </w:r>
      <w:r w:rsidR="002F467E">
        <w:t>:</w:t>
      </w:r>
      <w:r w:rsidR="002F467E">
        <w:tab/>
        <w:t>Privacy Procedures 20</w:t>
      </w:r>
      <w:r w:rsidR="00390586">
        <w:t>18</w:t>
      </w:r>
    </w:p>
    <w:p w14:paraId="32AD986B" w14:textId="02376D30" w:rsidR="004B1212" w:rsidRDefault="00E57E69" w:rsidP="00AF4AE9">
      <w:pPr>
        <w:pStyle w:val="NormalAdministrativeNotes"/>
      </w:pPr>
      <w:r>
        <w:t xml:space="preserve">Related documents: </w:t>
      </w:r>
      <w:r w:rsidR="00C53743">
        <w:tab/>
      </w:r>
      <w:bookmarkStart w:id="10" w:name="_Toc138496789"/>
      <w:bookmarkStart w:id="11" w:name="_Toc443380774"/>
      <w:r w:rsidR="004B1212" w:rsidRPr="004B1212">
        <w:rPr>
          <w:i/>
          <w:iCs/>
        </w:rPr>
        <w:t>Privacy Act 1988</w:t>
      </w:r>
      <w:r w:rsidR="004B1212">
        <w:rPr>
          <w:i/>
          <w:iCs/>
        </w:rPr>
        <w:t xml:space="preserve"> (Cth)</w:t>
      </w:r>
    </w:p>
    <w:p w14:paraId="1D0DC525" w14:textId="692D40FA" w:rsidR="00AF4AE9" w:rsidRDefault="004B1212" w:rsidP="00AF4AE9">
      <w:pPr>
        <w:pStyle w:val="NormalAdministrativeNotes"/>
      </w:pPr>
      <w:r>
        <w:tab/>
      </w:r>
      <w:r w:rsidR="00AF4AE9" w:rsidRPr="008A0C2D">
        <w:rPr>
          <w:i/>
        </w:rPr>
        <w:t>Privacy and Personal Information Protection Act 1998</w:t>
      </w:r>
      <w:r w:rsidR="00AF4AE9" w:rsidRPr="00877205">
        <w:t xml:space="preserve"> (NSW)</w:t>
      </w:r>
    </w:p>
    <w:p w14:paraId="3450E0A1" w14:textId="77777777" w:rsidR="00AF4AE9" w:rsidRDefault="00AF4AE9" w:rsidP="00AF4AE9">
      <w:pPr>
        <w:pStyle w:val="NormalAdministrativeNotes"/>
      </w:pPr>
      <w:r>
        <w:tab/>
      </w:r>
      <w:r w:rsidRPr="008A0C2D">
        <w:rPr>
          <w:i/>
        </w:rPr>
        <w:t>Health Records and Information Privacy Act 2002</w:t>
      </w:r>
      <w:r w:rsidRPr="00877205">
        <w:t xml:space="preserve"> (NSW)</w:t>
      </w:r>
    </w:p>
    <w:p w14:paraId="1DC63F35" w14:textId="5EAADB34" w:rsidR="00AF4AE9" w:rsidRDefault="00AF4AE9" w:rsidP="00AF4AE9">
      <w:pPr>
        <w:pStyle w:val="NormalAdministrativeNotes"/>
        <w:rPr>
          <w:i/>
        </w:rPr>
      </w:pPr>
      <w:r>
        <w:rPr>
          <w:i/>
        </w:rPr>
        <w:tab/>
      </w:r>
      <w:hyperlink r:id="rId28" w:history="1">
        <w:r w:rsidRPr="009F5D86">
          <w:rPr>
            <w:rStyle w:val="Hyperlink"/>
            <w:i/>
          </w:rPr>
          <w:t>Privacy Policy 2017</w:t>
        </w:r>
      </w:hyperlink>
    </w:p>
    <w:p w14:paraId="1D34648A" w14:textId="171EC385" w:rsidR="009C3362" w:rsidRPr="000C2B20" w:rsidRDefault="009C3362" w:rsidP="00AF4AE9">
      <w:pPr>
        <w:pStyle w:val="NormalAdministrativeNotes"/>
        <w:rPr>
          <w:i/>
        </w:rPr>
      </w:pPr>
      <w:r>
        <w:rPr>
          <w:i/>
        </w:rPr>
        <w:tab/>
      </w:r>
      <w:hyperlink r:id="rId29" w:history="1">
        <w:r w:rsidRPr="00BD2129">
          <w:rPr>
            <w:rStyle w:val="Hyperlink"/>
            <w:i/>
          </w:rPr>
          <w:t>Data Breach Policy 2023</w:t>
        </w:r>
      </w:hyperlink>
    </w:p>
    <w:p w14:paraId="405BC068" w14:textId="77777777" w:rsidR="00AF4AE9" w:rsidRDefault="00AF4AE9" w:rsidP="00AF4AE9">
      <w:pPr>
        <w:pStyle w:val="NormalAdministrativeNotes"/>
      </w:pPr>
    </w:p>
    <w:p w14:paraId="57035C2D" w14:textId="77777777" w:rsidR="00FE7132" w:rsidRPr="007A52D0" w:rsidRDefault="00FE7132" w:rsidP="00AF4AE9">
      <w:pPr>
        <w:pStyle w:val="NormalAdministrativeNotes"/>
      </w:pPr>
    </w:p>
    <w:p w14:paraId="15135AF9" w14:textId="77777777" w:rsidR="00B11CFF" w:rsidRDefault="00B11CFF" w:rsidP="00B11CFF">
      <w:pPr>
        <w:pStyle w:val="Heading2"/>
        <w:ind w:right="-704"/>
      </w:pPr>
      <w:bookmarkStart w:id="12" w:name="_Toc152945402"/>
      <w:bookmarkEnd w:id="10"/>
      <w:bookmarkEnd w:id="11"/>
      <w:r>
        <w:t>Amendment history</w:t>
      </w:r>
      <w:bookmarkEnd w:id="12"/>
    </w:p>
    <w:tbl>
      <w:tblPr>
        <w:tblW w:w="0" w:type="auto"/>
        <w:tblLook w:val="00A0" w:firstRow="1" w:lastRow="0" w:firstColumn="1" w:lastColumn="0" w:noHBand="0" w:noVBand="0"/>
      </w:tblPr>
      <w:tblGrid>
        <w:gridCol w:w="1251"/>
        <w:gridCol w:w="4901"/>
        <w:gridCol w:w="1784"/>
      </w:tblGrid>
      <w:tr w:rsidR="00B11CFF" w:rsidRPr="00C53743" w14:paraId="129C97FB" w14:textId="77777777" w:rsidTr="00B11CFF">
        <w:trPr>
          <w:cantSplit/>
          <w:tblHeader/>
        </w:trPr>
        <w:tc>
          <w:tcPr>
            <w:tcW w:w="1253" w:type="dxa"/>
          </w:tcPr>
          <w:p w14:paraId="2295BE54" w14:textId="77777777" w:rsidR="00B11CFF" w:rsidRPr="00C53743" w:rsidRDefault="00B11CFF" w:rsidP="00E34036">
            <w:pPr>
              <w:keepNext/>
              <w:keepLines/>
              <w:rPr>
                <w:b/>
              </w:rPr>
            </w:pPr>
            <w:r w:rsidRPr="00C53743">
              <w:rPr>
                <w:b/>
              </w:rPr>
              <w:t>Provision</w:t>
            </w:r>
          </w:p>
        </w:tc>
        <w:tc>
          <w:tcPr>
            <w:tcW w:w="4894" w:type="dxa"/>
          </w:tcPr>
          <w:p w14:paraId="65B35502" w14:textId="77777777" w:rsidR="00B11CFF" w:rsidRPr="00C53743" w:rsidRDefault="00B11CFF" w:rsidP="00E34036">
            <w:pPr>
              <w:keepNext/>
              <w:keepLines/>
              <w:rPr>
                <w:b/>
              </w:rPr>
            </w:pPr>
            <w:r w:rsidRPr="00C53743">
              <w:rPr>
                <w:b/>
              </w:rPr>
              <w:t>Amendment</w:t>
            </w:r>
          </w:p>
        </w:tc>
        <w:tc>
          <w:tcPr>
            <w:tcW w:w="1789" w:type="dxa"/>
          </w:tcPr>
          <w:p w14:paraId="2BD12C48" w14:textId="77777777" w:rsidR="00B11CFF" w:rsidRPr="00C53743" w:rsidRDefault="00B11CFF" w:rsidP="00E34036">
            <w:pPr>
              <w:keepNext/>
              <w:keepLines/>
              <w:rPr>
                <w:b/>
              </w:rPr>
            </w:pPr>
            <w:r w:rsidRPr="00C53743">
              <w:rPr>
                <w:b/>
              </w:rPr>
              <w:t>Commencing</w:t>
            </w:r>
          </w:p>
        </w:tc>
      </w:tr>
      <w:tr w:rsidR="00B11CFF" w14:paraId="596F6117" w14:textId="77777777" w:rsidTr="00B11CFF">
        <w:trPr>
          <w:cantSplit/>
        </w:trPr>
        <w:tc>
          <w:tcPr>
            <w:tcW w:w="1253" w:type="dxa"/>
          </w:tcPr>
          <w:p w14:paraId="57C02CC9" w14:textId="6C5BA000" w:rsidR="00B11CFF" w:rsidRPr="005F1996" w:rsidRDefault="00B11CFF" w:rsidP="00E34036">
            <w:pPr>
              <w:spacing w:after="0"/>
            </w:pPr>
          </w:p>
        </w:tc>
        <w:tc>
          <w:tcPr>
            <w:tcW w:w="4894" w:type="dxa"/>
          </w:tcPr>
          <w:p w14:paraId="02830DE4" w14:textId="35798B53" w:rsidR="00B11CFF" w:rsidRPr="005F1996" w:rsidRDefault="00B11CFF" w:rsidP="00E34036"/>
        </w:tc>
        <w:tc>
          <w:tcPr>
            <w:tcW w:w="1789" w:type="dxa"/>
          </w:tcPr>
          <w:p w14:paraId="78B88265" w14:textId="178DC98B" w:rsidR="00B11CFF" w:rsidRPr="005F1996" w:rsidRDefault="00B11CFF" w:rsidP="00E34036"/>
        </w:tc>
      </w:tr>
      <w:tr w:rsidR="00AC3930" w14:paraId="2B6B39F2" w14:textId="77777777" w:rsidTr="00B11CFF">
        <w:tc>
          <w:tcPr>
            <w:tcW w:w="1213" w:type="dxa"/>
          </w:tcPr>
          <w:p w14:paraId="7023D4C8" w14:textId="328A8CE1" w:rsidR="00AC3930" w:rsidRDefault="00AC3930" w:rsidP="00B11CFF">
            <w:pPr>
              <w:spacing w:after="0"/>
            </w:pPr>
          </w:p>
        </w:tc>
        <w:tc>
          <w:tcPr>
            <w:tcW w:w="4961" w:type="dxa"/>
          </w:tcPr>
          <w:p w14:paraId="29A6F452" w14:textId="32AA16A2" w:rsidR="00AC3930" w:rsidRDefault="00AC3930" w:rsidP="00517FA8"/>
        </w:tc>
        <w:tc>
          <w:tcPr>
            <w:tcW w:w="1762" w:type="dxa"/>
          </w:tcPr>
          <w:p w14:paraId="04F7A46A" w14:textId="4233195F" w:rsidR="00AC3930" w:rsidRDefault="00AC3930" w:rsidP="00412D4B"/>
        </w:tc>
      </w:tr>
      <w:tr w:rsidR="00C05D4E" w14:paraId="783F52AE" w14:textId="77777777" w:rsidTr="00B11CFF">
        <w:tc>
          <w:tcPr>
            <w:tcW w:w="1213" w:type="dxa"/>
          </w:tcPr>
          <w:p w14:paraId="4E774976" w14:textId="3D612728" w:rsidR="00C05D4E" w:rsidRDefault="00C05D4E" w:rsidP="00517FA8"/>
        </w:tc>
        <w:tc>
          <w:tcPr>
            <w:tcW w:w="4961" w:type="dxa"/>
          </w:tcPr>
          <w:p w14:paraId="514A1CFE" w14:textId="5327F49C" w:rsidR="00C05D4E" w:rsidRDefault="00C05D4E" w:rsidP="00517FA8"/>
        </w:tc>
        <w:tc>
          <w:tcPr>
            <w:tcW w:w="1762" w:type="dxa"/>
          </w:tcPr>
          <w:p w14:paraId="2347100C" w14:textId="3EDFDEA9" w:rsidR="00C05D4E" w:rsidRDefault="00C05D4E" w:rsidP="00412D4B"/>
        </w:tc>
      </w:tr>
    </w:tbl>
    <w:p w14:paraId="2DF18D80" w14:textId="77777777" w:rsidR="004A7E8A" w:rsidRDefault="004A7E8A" w:rsidP="00C90F14"/>
    <w:sectPr w:rsidR="004A7E8A" w:rsidSect="00BF3DF9">
      <w:headerReference w:type="even" r:id="rId30"/>
      <w:headerReference w:type="default" r:id="rId31"/>
      <w:footerReference w:type="even" r:id="rId32"/>
      <w:footerReference w:type="default" r:id="rId33"/>
      <w:headerReference w:type="first" r:id="rId34"/>
      <w:footerReference w:type="first" r:id="rId35"/>
      <w:pgSz w:w="11906" w:h="16838" w:code="9"/>
      <w:pgMar w:top="2211" w:right="1985"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27CE" w14:textId="77777777" w:rsidR="00BF3DF9" w:rsidRDefault="00BF3DF9" w:rsidP="00013550">
      <w:r>
        <w:separator/>
      </w:r>
    </w:p>
  </w:endnote>
  <w:endnote w:type="continuationSeparator" w:id="0">
    <w:p w14:paraId="3B9E2316" w14:textId="77777777" w:rsidR="00BF3DF9" w:rsidRDefault="00BF3DF9" w:rsidP="0001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6E08" w14:textId="77777777" w:rsidR="00377D5D" w:rsidRDefault="00377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3FF" w14:textId="77777777" w:rsidR="00BF3DF9" w:rsidRDefault="00BF3DF9" w:rsidP="00013550">
    <w:pPr>
      <w:pStyle w:val="Footer"/>
    </w:pPr>
  </w:p>
  <w:p w14:paraId="040EC417" w14:textId="6A2ACC82" w:rsidR="00BF3DF9" w:rsidRDefault="00BF3DF9" w:rsidP="005B7DFE">
    <w:pPr>
      <w:pStyle w:val="Footer"/>
      <w:rPr>
        <w:noProof/>
        <w:szCs w:val="16"/>
        <w:lang w:val="en-US"/>
      </w:rPr>
    </w:pPr>
    <w:r>
      <w:t xml:space="preserve">Privacy Procedures </w:t>
    </w:r>
    <w:r w:rsidR="00B62525">
      <w:t>2023</w:t>
    </w:r>
    <w:r w:rsidRPr="00157AAA">
      <w:tab/>
    </w:r>
    <w:r w:rsidRPr="00157AAA">
      <w:tab/>
    </w:r>
    <w:r w:rsidRPr="00157AAA">
      <w:rPr>
        <w:szCs w:val="16"/>
        <w:lang w:val="en-US"/>
      </w:rPr>
      <w:t xml:space="preserve">Page </w:t>
    </w:r>
    <w:r w:rsidRPr="00157AAA">
      <w:rPr>
        <w:szCs w:val="16"/>
        <w:lang w:val="en-US"/>
      </w:rPr>
      <w:fldChar w:fldCharType="begin"/>
    </w:r>
    <w:r w:rsidRPr="00157AAA">
      <w:rPr>
        <w:szCs w:val="16"/>
        <w:lang w:val="en-US"/>
      </w:rPr>
      <w:instrText xml:space="preserve"> PAGE </w:instrText>
    </w:r>
    <w:r w:rsidRPr="00157AAA">
      <w:rPr>
        <w:szCs w:val="16"/>
        <w:lang w:val="en-US"/>
      </w:rPr>
      <w:fldChar w:fldCharType="separate"/>
    </w:r>
    <w:r w:rsidR="002C5290">
      <w:rPr>
        <w:noProof/>
        <w:szCs w:val="16"/>
        <w:lang w:val="en-US"/>
      </w:rPr>
      <w:t>9</w:t>
    </w:r>
    <w:r w:rsidRPr="00157AAA">
      <w:rPr>
        <w:szCs w:val="16"/>
        <w:lang w:val="en-US"/>
      </w:rPr>
      <w:fldChar w:fldCharType="end"/>
    </w:r>
    <w:r w:rsidRPr="00157AAA">
      <w:rPr>
        <w:szCs w:val="16"/>
        <w:lang w:val="en-US"/>
      </w:rPr>
      <w:t xml:space="preserve"> of </w:t>
    </w:r>
    <w:r w:rsidR="00150EFD">
      <w:rPr>
        <w:noProof/>
        <w:szCs w:val="16"/>
        <w:lang w:val="en-US"/>
      </w:rPr>
      <w:fldChar w:fldCharType="begin"/>
    </w:r>
    <w:r w:rsidR="00150EFD">
      <w:rPr>
        <w:noProof/>
        <w:szCs w:val="16"/>
        <w:lang w:val="en-US"/>
      </w:rPr>
      <w:instrText xml:space="preserve"> NUMPAGES   \* MERGEFORMAT </w:instrText>
    </w:r>
    <w:r w:rsidR="00150EFD">
      <w:rPr>
        <w:noProof/>
        <w:szCs w:val="16"/>
        <w:lang w:val="en-US"/>
      </w:rPr>
      <w:fldChar w:fldCharType="separate"/>
    </w:r>
    <w:r w:rsidR="002C5290">
      <w:rPr>
        <w:noProof/>
        <w:szCs w:val="16"/>
        <w:lang w:val="en-US"/>
      </w:rPr>
      <w:t>9</w:t>
    </w:r>
    <w:r w:rsidR="00150EFD">
      <w:rPr>
        <w:noProof/>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143F" w14:textId="77777777" w:rsidR="00377D5D" w:rsidRDefault="00377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EE2E" w14:textId="77777777" w:rsidR="00BF3DF9" w:rsidRDefault="00BF3DF9" w:rsidP="00013550">
      <w:r>
        <w:separator/>
      </w:r>
    </w:p>
  </w:footnote>
  <w:footnote w:type="continuationSeparator" w:id="0">
    <w:p w14:paraId="1E8ED5C0" w14:textId="77777777" w:rsidR="00BF3DF9" w:rsidRDefault="00BF3DF9" w:rsidP="00013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B6B4" w14:textId="77777777" w:rsidR="00377D5D" w:rsidRDefault="00377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DFE" w14:textId="77777777" w:rsidR="00BF3DF9" w:rsidRDefault="00BF3DF9" w:rsidP="00013550">
    <w:r>
      <w:rPr>
        <w:noProof/>
        <w:lang w:eastAsia="en-AU"/>
      </w:rPr>
      <w:drawing>
        <wp:inline distT="0" distB="0" distL="0" distR="0" wp14:anchorId="34A998EB" wp14:editId="695C4F34">
          <wp:extent cx="1753235" cy="563880"/>
          <wp:effectExtent l="0" t="0" r="0" b="0"/>
          <wp:docPr id="3" name="Picture 0" descr="USY_MB1_RGB_1_Colour_Standa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Y_MB1_RGB_1_Colour_Standard_Logo.png"/>
                  <pic:cNvPicPr>
                    <a:picLocks noChangeAspect="1" noChangeArrowheads="1"/>
                  </pic:cNvPicPr>
                </pic:nvPicPr>
                <pic:blipFill>
                  <a:blip r:embed="rId1">
                    <a:extLst>
                      <a:ext uri="{28A0092B-C50C-407E-A947-70E740481C1C}">
                        <a14:useLocalDpi xmlns:a14="http://schemas.microsoft.com/office/drawing/2010/main" val="0"/>
                      </a:ext>
                    </a:extLst>
                  </a:blip>
                  <a:srcRect t="16873" b="12656"/>
                  <a:stretch>
                    <a:fillRect/>
                  </a:stretch>
                </pic:blipFill>
                <pic:spPr bwMode="auto">
                  <a:xfrm>
                    <a:off x="0" y="0"/>
                    <a:ext cx="1753235" cy="5638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E267" w14:textId="77777777" w:rsidR="00BF3DF9" w:rsidRPr="00BE0B4B" w:rsidRDefault="00BF3DF9" w:rsidP="00013550">
    <w:pPr>
      <w:rPr>
        <w:sz w:val="22"/>
      </w:rPr>
    </w:pPr>
    <w:r>
      <w:rPr>
        <w:noProof/>
        <w:lang w:eastAsia="en-AU"/>
      </w:rPr>
      <w:drawing>
        <wp:anchor distT="0" distB="0" distL="114300" distR="114300" simplePos="0" relativeHeight="251658240" behindDoc="0" locked="0" layoutInCell="1" allowOverlap="1" wp14:anchorId="155763F2" wp14:editId="54A1FD86">
          <wp:simplePos x="0" y="0"/>
          <wp:positionH relativeFrom="page">
            <wp:posOffset>1196975</wp:posOffset>
          </wp:positionH>
          <wp:positionV relativeFrom="page">
            <wp:posOffset>482600</wp:posOffset>
          </wp:positionV>
          <wp:extent cx="1568450" cy="546100"/>
          <wp:effectExtent l="0" t="0" r="0" b="6350"/>
          <wp:wrapNone/>
          <wp:docPr id="4" name="Picture 1"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546100"/>
                  </a:xfrm>
                  <a:prstGeom prst="rect">
                    <a:avLst/>
                  </a:prstGeom>
                  <a:noFill/>
                </pic:spPr>
              </pic:pic>
            </a:graphicData>
          </a:graphic>
          <wp14:sizeRelH relativeFrom="page">
            <wp14:pctWidth>0</wp14:pctWidth>
          </wp14:sizeRelH>
          <wp14:sizeRelV relativeFrom="page">
            <wp14:pctHeight>0</wp14:pctHeight>
          </wp14:sizeRelV>
        </wp:anchor>
      </w:drawing>
    </w:r>
  </w:p>
  <w:p w14:paraId="2D0D62E2" w14:textId="77777777" w:rsidR="00BF3DF9" w:rsidRDefault="00BF3DF9" w:rsidP="000135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76D"/>
    <w:multiLevelType w:val="multilevel"/>
    <w:tmpl w:val="B05A1572"/>
    <w:lvl w:ilvl="0">
      <w:start w:val="1"/>
      <w:numFmt w:val="none"/>
      <w:isLgl/>
      <w:suff w:val="nothing"/>
      <w:lvlText w:val=""/>
      <w:lvlJc w:val="left"/>
      <w:pPr>
        <w:ind w:left="0" w:firstLine="0"/>
      </w:pPr>
      <w:rPr>
        <w:rFonts w:hint="default"/>
      </w:rPr>
    </w:lvl>
    <w:lvl w:ilvl="1">
      <w:start w:val="1"/>
      <w:numFmt w:val="decimal"/>
      <w:pStyle w:val="NumberedFirstLevel"/>
      <w:lvlText w:val="(%2)"/>
      <w:lvlJc w:val="left"/>
      <w:pPr>
        <w:tabs>
          <w:tab w:val="num" w:pos="567"/>
        </w:tabs>
        <w:ind w:left="567" w:hanging="567"/>
      </w:pPr>
      <w:rPr>
        <w:rFonts w:hint="default"/>
        <w:i w:val="0"/>
      </w:rPr>
    </w:lvl>
    <w:lvl w:ilvl="2">
      <w:start w:val="1"/>
      <w:numFmt w:val="lowerLetter"/>
      <w:pStyle w:val="NumberedSecondLevel"/>
      <w:lvlText w:val="(%3)"/>
      <w:lvlJc w:val="left"/>
      <w:pPr>
        <w:tabs>
          <w:tab w:val="num" w:pos="1134"/>
        </w:tabs>
        <w:ind w:left="1134" w:hanging="567"/>
      </w:pPr>
      <w:rPr>
        <w:rFonts w:hint="default"/>
        <w:b w:val="0"/>
        <w:i w:val="0"/>
      </w:rPr>
    </w:lvl>
    <w:lvl w:ilvl="3">
      <w:start w:val="1"/>
      <w:numFmt w:val="lowerRoman"/>
      <w:pStyle w:val="NumberedThirdLevel"/>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1" w15:restartNumberingAfterBreak="0">
    <w:nsid w:val="3C885AE5"/>
    <w:multiLevelType w:val="multilevel"/>
    <w:tmpl w:val="3A44B08E"/>
    <w:lvl w:ilvl="0">
      <w:start w:val="1"/>
      <w:numFmt w:val="bullet"/>
      <w:lvlText w:val=""/>
      <w:lvlJc w:val="left"/>
      <w:pPr>
        <w:ind w:left="360" w:hanging="360"/>
      </w:pPr>
      <w:rPr>
        <w:rFonts w:ascii="Symbol" w:hAnsi="Symbol"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ind w:left="927" w:hanging="360"/>
      </w:pPr>
      <w:rPr>
        <w:rFonts w:ascii="Symbol" w:hAnsi="Symbol"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2" w15:restartNumberingAfterBreak="0">
    <w:nsid w:val="611B10D2"/>
    <w:multiLevelType w:val="multilevel"/>
    <w:tmpl w:val="D3CE4140"/>
    <w:lvl w:ilvl="0">
      <w:start w:val="1"/>
      <w:numFmt w:val="bullet"/>
      <w:pStyle w:val="NormalDotPoint"/>
      <w:lvlText w:val=""/>
      <w:lvlJc w:val="left"/>
      <w:pPr>
        <w:ind w:left="360" w:hanging="360"/>
      </w:pPr>
      <w:rPr>
        <w:rFonts w:ascii="Symbol" w:hAnsi="Symbol"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3" w15:restartNumberingAfterBreak="0">
    <w:nsid w:val="6C246AB5"/>
    <w:multiLevelType w:val="multilevel"/>
    <w:tmpl w:val="9C40B060"/>
    <w:lvl w:ilvl="0">
      <w:start w:val="1"/>
      <w:numFmt w:val="bullet"/>
      <w:lvlText w:val=""/>
      <w:lvlJc w:val="left"/>
      <w:pPr>
        <w:ind w:left="360" w:hanging="360"/>
      </w:pPr>
      <w:rPr>
        <w:rFonts w:ascii="Symbol" w:hAnsi="Symbol"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ind w:left="927" w:hanging="360"/>
      </w:pPr>
      <w:rPr>
        <w:rFonts w:ascii="Symbol" w:hAnsi="Symbol"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4" w15:restartNumberingAfterBreak="0">
    <w:nsid w:val="729F0CCC"/>
    <w:multiLevelType w:val="hybridMultilevel"/>
    <w:tmpl w:val="0B3A1824"/>
    <w:lvl w:ilvl="0" w:tplc="8864ECE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3893019">
    <w:abstractNumId w:val="0"/>
  </w:num>
  <w:num w:numId="2" w16cid:durableId="1328250121">
    <w:abstractNumId w:val="2"/>
  </w:num>
  <w:num w:numId="3" w16cid:durableId="1637106676">
    <w:abstractNumId w:val="0"/>
  </w:num>
  <w:num w:numId="4" w16cid:durableId="189994618">
    <w:abstractNumId w:val="0"/>
  </w:num>
  <w:num w:numId="5" w16cid:durableId="348455803">
    <w:abstractNumId w:val="0"/>
  </w:num>
  <w:num w:numId="6" w16cid:durableId="2033455501">
    <w:abstractNumId w:val="2"/>
  </w:num>
  <w:num w:numId="7" w16cid:durableId="1895193010">
    <w:abstractNumId w:val="0"/>
  </w:num>
  <w:num w:numId="8" w16cid:durableId="282001682">
    <w:abstractNumId w:val="0"/>
  </w:num>
  <w:num w:numId="9" w16cid:durableId="1590120256">
    <w:abstractNumId w:val="0"/>
  </w:num>
  <w:num w:numId="10" w16cid:durableId="1550218671">
    <w:abstractNumId w:val="2"/>
  </w:num>
  <w:num w:numId="11" w16cid:durableId="2061243976">
    <w:abstractNumId w:val="0"/>
  </w:num>
  <w:num w:numId="12" w16cid:durableId="158541558">
    <w:abstractNumId w:val="0"/>
  </w:num>
  <w:num w:numId="13" w16cid:durableId="1773546758">
    <w:abstractNumId w:val="4"/>
  </w:num>
  <w:num w:numId="14" w16cid:durableId="1448701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7728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329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4863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5351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2991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4630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699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4386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1942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9577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8656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401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4486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0440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4791018">
    <w:abstractNumId w:val="0"/>
  </w:num>
  <w:num w:numId="30" w16cid:durableId="1063677564">
    <w:abstractNumId w:val="0"/>
  </w:num>
  <w:num w:numId="31" w16cid:durableId="94519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6034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2069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6427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8080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8867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11048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9569671">
    <w:abstractNumId w:val="1"/>
  </w:num>
  <w:num w:numId="39" w16cid:durableId="1741370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E40"/>
    <w:rsid w:val="000001A4"/>
    <w:rsid w:val="000015EA"/>
    <w:rsid w:val="00003313"/>
    <w:rsid w:val="00006B49"/>
    <w:rsid w:val="000072E0"/>
    <w:rsid w:val="00010CB0"/>
    <w:rsid w:val="00013550"/>
    <w:rsid w:val="000157DD"/>
    <w:rsid w:val="00021778"/>
    <w:rsid w:val="00025061"/>
    <w:rsid w:val="000409C9"/>
    <w:rsid w:val="00040A7A"/>
    <w:rsid w:val="00040C22"/>
    <w:rsid w:val="00043055"/>
    <w:rsid w:val="00045924"/>
    <w:rsid w:val="0004769D"/>
    <w:rsid w:val="00060DBA"/>
    <w:rsid w:val="0008036E"/>
    <w:rsid w:val="0008214E"/>
    <w:rsid w:val="000970ED"/>
    <w:rsid w:val="000A0B4D"/>
    <w:rsid w:val="000A697A"/>
    <w:rsid w:val="000A75A4"/>
    <w:rsid w:val="000B6178"/>
    <w:rsid w:val="000C1810"/>
    <w:rsid w:val="000C2397"/>
    <w:rsid w:val="000C2B20"/>
    <w:rsid w:val="000C3130"/>
    <w:rsid w:val="000C41FA"/>
    <w:rsid w:val="000D04D5"/>
    <w:rsid w:val="000D1C64"/>
    <w:rsid w:val="000D6F4E"/>
    <w:rsid w:val="000E2911"/>
    <w:rsid w:val="000F3967"/>
    <w:rsid w:val="000F4D51"/>
    <w:rsid w:val="001023AD"/>
    <w:rsid w:val="0010782A"/>
    <w:rsid w:val="001119BA"/>
    <w:rsid w:val="00115EE9"/>
    <w:rsid w:val="00121825"/>
    <w:rsid w:val="00131C3E"/>
    <w:rsid w:val="00140B1C"/>
    <w:rsid w:val="0014733E"/>
    <w:rsid w:val="00150EFD"/>
    <w:rsid w:val="00155112"/>
    <w:rsid w:val="00162947"/>
    <w:rsid w:val="00164FBF"/>
    <w:rsid w:val="001676DC"/>
    <w:rsid w:val="00171021"/>
    <w:rsid w:val="00174E3D"/>
    <w:rsid w:val="00177CE2"/>
    <w:rsid w:val="001904D1"/>
    <w:rsid w:val="00191146"/>
    <w:rsid w:val="0019351E"/>
    <w:rsid w:val="001A7370"/>
    <w:rsid w:val="001B4082"/>
    <w:rsid w:val="001B48DB"/>
    <w:rsid w:val="001B66A1"/>
    <w:rsid w:val="001D2423"/>
    <w:rsid w:val="001D2F4E"/>
    <w:rsid w:val="001D5AFB"/>
    <w:rsid w:val="001E4CAE"/>
    <w:rsid w:val="001E60A2"/>
    <w:rsid w:val="001E6B0A"/>
    <w:rsid w:val="001F1757"/>
    <w:rsid w:val="00203EA7"/>
    <w:rsid w:val="0021778D"/>
    <w:rsid w:val="00223217"/>
    <w:rsid w:val="0022490D"/>
    <w:rsid w:val="00226F01"/>
    <w:rsid w:val="002302C4"/>
    <w:rsid w:val="0023410F"/>
    <w:rsid w:val="00237FE3"/>
    <w:rsid w:val="00240E13"/>
    <w:rsid w:val="002648AA"/>
    <w:rsid w:val="002653D2"/>
    <w:rsid w:val="00267F11"/>
    <w:rsid w:val="00277F16"/>
    <w:rsid w:val="0028568F"/>
    <w:rsid w:val="002877C6"/>
    <w:rsid w:val="002A04D3"/>
    <w:rsid w:val="002A6A63"/>
    <w:rsid w:val="002C0D0F"/>
    <w:rsid w:val="002C2474"/>
    <w:rsid w:val="002C5290"/>
    <w:rsid w:val="002D3590"/>
    <w:rsid w:val="002D6B2B"/>
    <w:rsid w:val="002D6F18"/>
    <w:rsid w:val="002F467E"/>
    <w:rsid w:val="002F5869"/>
    <w:rsid w:val="0031402E"/>
    <w:rsid w:val="003251D5"/>
    <w:rsid w:val="00333211"/>
    <w:rsid w:val="003335F8"/>
    <w:rsid w:val="003363EA"/>
    <w:rsid w:val="00344D18"/>
    <w:rsid w:val="00352E19"/>
    <w:rsid w:val="00366C3A"/>
    <w:rsid w:val="00367070"/>
    <w:rsid w:val="00377D5D"/>
    <w:rsid w:val="00380A0B"/>
    <w:rsid w:val="00380D1A"/>
    <w:rsid w:val="0038430C"/>
    <w:rsid w:val="003871E7"/>
    <w:rsid w:val="00387426"/>
    <w:rsid w:val="00390586"/>
    <w:rsid w:val="003A00EC"/>
    <w:rsid w:val="003A1548"/>
    <w:rsid w:val="003A3D9F"/>
    <w:rsid w:val="003B34C2"/>
    <w:rsid w:val="003B637C"/>
    <w:rsid w:val="003C265D"/>
    <w:rsid w:val="003D0BCA"/>
    <w:rsid w:val="003D3828"/>
    <w:rsid w:val="003D61D2"/>
    <w:rsid w:val="003E36EF"/>
    <w:rsid w:val="003E3A43"/>
    <w:rsid w:val="003E51AE"/>
    <w:rsid w:val="003F01D2"/>
    <w:rsid w:val="003F4C20"/>
    <w:rsid w:val="003F4F0C"/>
    <w:rsid w:val="00400DDB"/>
    <w:rsid w:val="004044DF"/>
    <w:rsid w:val="004078F8"/>
    <w:rsid w:val="00412D4B"/>
    <w:rsid w:val="00417225"/>
    <w:rsid w:val="00417B42"/>
    <w:rsid w:val="00420C79"/>
    <w:rsid w:val="00426492"/>
    <w:rsid w:val="00427F42"/>
    <w:rsid w:val="00434254"/>
    <w:rsid w:val="00435D52"/>
    <w:rsid w:val="00446C1C"/>
    <w:rsid w:val="0044769D"/>
    <w:rsid w:val="004536CB"/>
    <w:rsid w:val="00454832"/>
    <w:rsid w:val="00455007"/>
    <w:rsid w:val="0045747C"/>
    <w:rsid w:val="004600BC"/>
    <w:rsid w:val="00465B92"/>
    <w:rsid w:val="00470556"/>
    <w:rsid w:val="00473991"/>
    <w:rsid w:val="00480197"/>
    <w:rsid w:val="00480759"/>
    <w:rsid w:val="00481052"/>
    <w:rsid w:val="00481829"/>
    <w:rsid w:val="00483038"/>
    <w:rsid w:val="00484335"/>
    <w:rsid w:val="00491614"/>
    <w:rsid w:val="004A6D3F"/>
    <w:rsid w:val="004A7E8A"/>
    <w:rsid w:val="004B1212"/>
    <w:rsid w:val="004B1E84"/>
    <w:rsid w:val="004B3223"/>
    <w:rsid w:val="004B33F4"/>
    <w:rsid w:val="004B5CB8"/>
    <w:rsid w:val="004B75FD"/>
    <w:rsid w:val="004C3E70"/>
    <w:rsid w:val="004E2BA1"/>
    <w:rsid w:val="004E4270"/>
    <w:rsid w:val="004F79E0"/>
    <w:rsid w:val="004F7EBE"/>
    <w:rsid w:val="00502DB6"/>
    <w:rsid w:val="00517FA8"/>
    <w:rsid w:val="0052125B"/>
    <w:rsid w:val="005253B1"/>
    <w:rsid w:val="005253E0"/>
    <w:rsid w:val="00525E3E"/>
    <w:rsid w:val="00526F75"/>
    <w:rsid w:val="005344D9"/>
    <w:rsid w:val="005401B9"/>
    <w:rsid w:val="0054640A"/>
    <w:rsid w:val="00564FAF"/>
    <w:rsid w:val="00576116"/>
    <w:rsid w:val="00592E56"/>
    <w:rsid w:val="0059470D"/>
    <w:rsid w:val="005956F4"/>
    <w:rsid w:val="00596240"/>
    <w:rsid w:val="00597637"/>
    <w:rsid w:val="005A251A"/>
    <w:rsid w:val="005A371A"/>
    <w:rsid w:val="005A5749"/>
    <w:rsid w:val="005B2EDF"/>
    <w:rsid w:val="005B7DFE"/>
    <w:rsid w:val="005C42C9"/>
    <w:rsid w:val="005D1285"/>
    <w:rsid w:val="005D5510"/>
    <w:rsid w:val="005E1BDC"/>
    <w:rsid w:val="005E51C3"/>
    <w:rsid w:val="005E5660"/>
    <w:rsid w:val="005F11CA"/>
    <w:rsid w:val="005F705F"/>
    <w:rsid w:val="00601AA4"/>
    <w:rsid w:val="00604C67"/>
    <w:rsid w:val="00605CA7"/>
    <w:rsid w:val="00610EBC"/>
    <w:rsid w:val="006216B7"/>
    <w:rsid w:val="00622FAC"/>
    <w:rsid w:val="006250CE"/>
    <w:rsid w:val="00630490"/>
    <w:rsid w:val="006361E5"/>
    <w:rsid w:val="00643608"/>
    <w:rsid w:val="00646B20"/>
    <w:rsid w:val="00646F87"/>
    <w:rsid w:val="006547CF"/>
    <w:rsid w:val="006549B1"/>
    <w:rsid w:val="00662120"/>
    <w:rsid w:val="00662642"/>
    <w:rsid w:val="006663A0"/>
    <w:rsid w:val="0066671B"/>
    <w:rsid w:val="0066794B"/>
    <w:rsid w:val="006715ED"/>
    <w:rsid w:val="0067628A"/>
    <w:rsid w:val="006777D1"/>
    <w:rsid w:val="00681FE9"/>
    <w:rsid w:val="00691279"/>
    <w:rsid w:val="006A146A"/>
    <w:rsid w:val="006A2252"/>
    <w:rsid w:val="006A4766"/>
    <w:rsid w:val="006A4F8B"/>
    <w:rsid w:val="006B2E0B"/>
    <w:rsid w:val="006C0A02"/>
    <w:rsid w:val="006C2B9B"/>
    <w:rsid w:val="006C51F9"/>
    <w:rsid w:val="006D1F68"/>
    <w:rsid w:val="006D7C96"/>
    <w:rsid w:val="006E57CD"/>
    <w:rsid w:val="006F372B"/>
    <w:rsid w:val="006F4B65"/>
    <w:rsid w:val="006F62C5"/>
    <w:rsid w:val="006F6FC1"/>
    <w:rsid w:val="00713D4C"/>
    <w:rsid w:val="007208BC"/>
    <w:rsid w:val="00724BC6"/>
    <w:rsid w:val="00724E3F"/>
    <w:rsid w:val="007369BE"/>
    <w:rsid w:val="0074508D"/>
    <w:rsid w:val="00766BF2"/>
    <w:rsid w:val="007735C0"/>
    <w:rsid w:val="007772BE"/>
    <w:rsid w:val="00781BF5"/>
    <w:rsid w:val="007875C8"/>
    <w:rsid w:val="00792A1A"/>
    <w:rsid w:val="007A1B5E"/>
    <w:rsid w:val="007B0C38"/>
    <w:rsid w:val="007B37F6"/>
    <w:rsid w:val="007C49D1"/>
    <w:rsid w:val="00800E80"/>
    <w:rsid w:val="00810120"/>
    <w:rsid w:val="00821200"/>
    <w:rsid w:val="0082491F"/>
    <w:rsid w:val="00831F03"/>
    <w:rsid w:val="00832604"/>
    <w:rsid w:val="00833608"/>
    <w:rsid w:val="00833BC2"/>
    <w:rsid w:val="00837B78"/>
    <w:rsid w:val="00844E63"/>
    <w:rsid w:val="00856268"/>
    <w:rsid w:val="00862379"/>
    <w:rsid w:val="00870FDD"/>
    <w:rsid w:val="00883E0E"/>
    <w:rsid w:val="00894016"/>
    <w:rsid w:val="00895009"/>
    <w:rsid w:val="008A7B6D"/>
    <w:rsid w:val="008C2F76"/>
    <w:rsid w:val="008C4EF7"/>
    <w:rsid w:val="008D49EA"/>
    <w:rsid w:val="008D6030"/>
    <w:rsid w:val="008D650C"/>
    <w:rsid w:val="008E7802"/>
    <w:rsid w:val="008F18CE"/>
    <w:rsid w:val="008F1F30"/>
    <w:rsid w:val="009153AF"/>
    <w:rsid w:val="00936758"/>
    <w:rsid w:val="009469B1"/>
    <w:rsid w:val="009511FD"/>
    <w:rsid w:val="009603A4"/>
    <w:rsid w:val="00961854"/>
    <w:rsid w:val="00966E96"/>
    <w:rsid w:val="009730A8"/>
    <w:rsid w:val="0097721E"/>
    <w:rsid w:val="0098190A"/>
    <w:rsid w:val="009927BA"/>
    <w:rsid w:val="009A0ECE"/>
    <w:rsid w:val="009A7ACD"/>
    <w:rsid w:val="009B275F"/>
    <w:rsid w:val="009C050F"/>
    <w:rsid w:val="009C3362"/>
    <w:rsid w:val="009C582F"/>
    <w:rsid w:val="009D70E9"/>
    <w:rsid w:val="009D7FD4"/>
    <w:rsid w:val="009E2CFA"/>
    <w:rsid w:val="009E4937"/>
    <w:rsid w:val="009E65D9"/>
    <w:rsid w:val="009F0041"/>
    <w:rsid w:val="009F4253"/>
    <w:rsid w:val="009F5D86"/>
    <w:rsid w:val="00A0020D"/>
    <w:rsid w:val="00A00E4D"/>
    <w:rsid w:val="00A04605"/>
    <w:rsid w:val="00A10475"/>
    <w:rsid w:val="00A20176"/>
    <w:rsid w:val="00A20327"/>
    <w:rsid w:val="00A27635"/>
    <w:rsid w:val="00A464AA"/>
    <w:rsid w:val="00A50B96"/>
    <w:rsid w:val="00A531BE"/>
    <w:rsid w:val="00A606D5"/>
    <w:rsid w:val="00A611ED"/>
    <w:rsid w:val="00A62E0D"/>
    <w:rsid w:val="00A63A8E"/>
    <w:rsid w:val="00A66CE0"/>
    <w:rsid w:val="00A7457C"/>
    <w:rsid w:val="00A7582F"/>
    <w:rsid w:val="00A767BA"/>
    <w:rsid w:val="00A77EB4"/>
    <w:rsid w:val="00A82C97"/>
    <w:rsid w:val="00A87198"/>
    <w:rsid w:val="00A945AE"/>
    <w:rsid w:val="00AA1951"/>
    <w:rsid w:val="00AA4712"/>
    <w:rsid w:val="00AB6BBA"/>
    <w:rsid w:val="00AC3930"/>
    <w:rsid w:val="00AC73C0"/>
    <w:rsid w:val="00AE6B07"/>
    <w:rsid w:val="00AF4AE9"/>
    <w:rsid w:val="00B01A26"/>
    <w:rsid w:val="00B11CFF"/>
    <w:rsid w:val="00B17259"/>
    <w:rsid w:val="00B20D4D"/>
    <w:rsid w:val="00B24F35"/>
    <w:rsid w:val="00B36F58"/>
    <w:rsid w:val="00B45A16"/>
    <w:rsid w:val="00B46C0A"/>
    <w:rsid w:val="00B47370"/>
    <w:rsid w:val="00B501AD"/>
    <w:rsid w:val="00B5382D"/>
    <w:rsid w:val="00B62525"/>
    <w:rsid w:val="00B6397A"/>
    <w:rsid w:val="00B670B5"/>
    <w:rsid w:val="00B67FD9"/>
    <w:rsid w:val="00B736FF"/>
    <w:rsid w:val="00B8159E"/>
    <w:rsid w:val="00B83073"/>
    <w:rsid w:val="00B845BC"/>
    <w:rsid w:val="00B8624C"/>
    <w:rsid w:val="00B96D4E"/>
    <w:rsid w:val="00BA0501"/>
    <w:rsid w:val="00BA0E71"/>
    <w:rsid w:val="00BA1D31"/>
    <w:rsid w:val="00BA26A3"/>
    <w:rsid w:val="00BA2D2A"/>
    <w:rsid w:val="00BA32E9"/>
    <w:rsid w:val="00BA51F4"/>
    <w:rsid w:val="00BB0F96"/>
    <w:rsid w:val="00BB2E8B"/>
    <w:rsid w:val="00BB3CBB"/>
    <w:rsid w:val="00BB4C1B"/>
    <w:rsid w:val="00BC4662"/>
    <w:rsid w:val="00BC5069"/>
    <w:rsid w:val="00BD06A8"/>
    <w:rsid w:val="00BD2129"/>
    <w:rsid w:val="00BD61A9"/>
    <w:rsid w:val="00BF2AEA"/>
    <w:rsid w:val="00BF3DF9"/>
    <w:rsid w:val="00C00F3C"/>
    <w:rsid w:val="00C05D4E"/>
    <w:rsid w:val="00C14716"/>
    <w:rsid w:val="00C20B58"/>
    <w:rsid w:val="00C255D4"/>
    <w:rsid w:val="00C311AA"/>
    <w:rsid w:val="00C35BFF"/>
    <w:rsid w:val="00C4676C"/>
    <w:rsid w:val="00C50022"/>
    <w:rsid w:val="00C50381"/>
    <w:rsid w:val="00C53743"/>
    <w:rsid w:val="00C5394C"/>
    <w:rsid w:val="00C542F6"/>
    <w:rsid w:val="00C70024"/>
    <w:rsid w:val="00C70D2D"/>
    <w:rsid w:val="00C73423"/>
    <w:rsid w:val="00C74BE0"/>
    <w:rsid w:val="00C77BEF"/>
    <w:rsid w:val="00C77BF9"/>
    <w:rsid w:val="00C77DFB"/>
    <w:rsid w:val="00C83B27"/>
    <w:rsid w:val="00C90F14"/>
    <w:rsid w:val="00CA3F50"/>
    <w:rsid w:val="00CB16A3"/>
    <w:rsid w:val="00CC3397"/>
    <w:rsid w:val="00CC6113"/>
    <w:rsid w:val="00CD0C60"/>
    <w:rsid w:val="00CD1B30"/>
    <w:rsid w:val="00CD4233"/>
    <w:rsid w:val="00CE2578"/>
    <w:rsid w:val="00CF315B"/>
    <w:rsid w:val="00CF3C96"/>
    <w:rsid w:val="00D003E2"/>
    <w:rsid w:val="00D00733"/>
    <w:rsid w:val="00D11563"/>
    <w:rsid w:val="00D14ADF"/>
    <w:rsid w:val="00D179C8"/>
    <w:rsid w:val="00D26CB7"/>
    <w:rsid w:val="00D36B90"/>
    <w:rsid w:val="00D371B3"/>
    <w:rsid w:val="00D5322B"/>
    <w:rsid w:val="00D55652"/>
    <w:rsid w:val="00D601DA"/>
    <w:rsid w:val="00D63E01"/>
    <w:rsid w:val="00D673A3"/>
    <w:rsid w:val="00D7057A"/>
    <w:rsid w:val="00D72703"/>
    <w:rsid w:val="00D91968"/>
    <w:rsid w:val="00D92A4D"/>
    <w:rsid w:val="00DA51F1"/>
    <w:rsid w:val="00DB071A"/>
    <w:rsid w:val="00DB1B4F"/>
    <w:rsid w:val="00DB4585"/>
    <w:rsid w:val="00DB6CC3"/>
    <w:rsid w:val="00DC334E"/>
    <w:rsid w:val="00DD5718"/>
    <w:rsid w:val="00DE0DE6"/>
    <w:rsid w:val="00DE2472"/>
    <w:rsid w:val="00DE3078"/>
    <w:rsid w:val="00DF1F2C"/>
    <w:rsid w:val="00E009FD"/>
    <w:rsid w:val="00E02582"/>
    <w:rsid w:val="00E067D5"/>
    <w:rsid w:val="00E25381"/>
    <w:rsid w:val="00E3224F"/>
    <w:rsid w:val="00E35E01"/>
    <w:rsid w:val="00E512EB"/>
    <w:rsid w:val="00E5615E"/>
    <w:rsid w:val="00E57E69"/>
    <w:rsid w:val="00E64A8C"/>
    <w:rsid w:val="00E65F67"/>
    <w:rsid w:val="00E72648"/>
    <w:rsid w:val="00E75AE0"/>
    <w:rsid w:val="00E75CE9"/>
    <w:rsid w:val="00E92FB8"/>
    <w:rsid w:val="00E954FA"/>
    <w:rsid w:val="00EA11CC"/>
    <w:rsid w:val="00EA369A"/>
    <w:rsid w:val="00EA70FE"/>
    <w:rsid w:val="00EC1331"/>
    <w:rsid w:val="00EC13B6"/>
    <w:rsid w:val="00EC380D"/>
    <w:rsid w:val="00EC4C1C"/>
    <w:rsid w:val="00EC4D66"/>
    <w:rsid w:val="00ED0731"/>
    <w:rsid w:val="00ED2F66"/>
    <w:rsid w:val="00ED3AF8"/>
    <w:rsid w:val="00EF0FFB"/>
    <w:rsid w:val="00EF2C87"/>
    <w:rsid w:val="00EF6FD1"/>
    <w:rsid w:val="00EF768B"/>
    <w:rsid w:val="00F1027A"/>
    <w:rsid w:val="00F12202"/>
    <w:rsid w:val="00F20CDA"/>
    <w:rsid w:val="00F27472"/>
    <w:rsid w:val="00F3010A"/>
    <w:rsid w:val="00F30698"/>
    <w:rsid w:val="00F36361"/>
    <w:rsid w:val="00F4696C"/>
    <w:rsid w:val="00F503D1"/>
    <w:rsid w:val="00F50871"/>
    <w:rsid w:val="00F5292D"/>
    <w:rsid w:val="00F53A24"/>
    <w:rsid w:val="00F608CC"/>
    <w:rsid w:val="00F61832"/>
    <w:rsid w:val="00F62E12"/>
    <w:rsid w:val="00F667EE"/>
    <w:rsid w:val="00F7770E"/>
    <w:rsid w:val="00F8659A"/>
    <w:rsid w:val="00F97E46"/>
    <w:rsid w:val="00FB4F6B"/>
    <w:rsid w:val="00FB6038"/>
    <w:rsid w:val="00FD543C"/>
    <w:rsid w:val="00FE0E40"/>
    <w:rsid w:val="00FE16D0"/>
    <w:rsid w:val="00FE17D9"/>
    <w:rsid w:val="00FE29A8"/>
    <w:rsid w:val="00FE7132"/>
    <w:rsid w:val="00FF1CDA"/>
    <w:rsid w:val="00FF29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A241B4E"/>
  <w15:docId w15:val="{B51DF037-81F9-43DC-A9A8-00492ED8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uiPriority="99"/>
    <w:lsdException w:name="List Paragraph" w:locked="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013550"/>
    <w:pPr>
      <w:spacing w:after="200"/>
    </w:pPr>
    <w:rPr>
      <w:rFonts w:eastAsiaTheme="minorHAnsi" w:cstheme="minorBidi"/>
      <w:lang w:eastAsia="en-US"/>
    </w:rPr>
  </w:style>
  <w:style w:type="paragraph" w:styleId="Heading1">
    <w:name w:val="heading 1"/>
    <w:next w:val="Normal"/>
    <w:link w:val="Heading1Char"/>
    <w:qFormat/>
    <w:rsid w:val="00B46C0A"/>
    <w:pPr>
      <w:keepNext/>
      <w:keepLines/>
      <w:spacing w:before="120"/>
      <w:outlineLvl w:val="0"/>
    </w:pPr>
    <w:rPr>
      <w:b/>
      <w:bCs/>
      <w:caps/>
      <w:color w:val="000000"/>
      <w:sz w:val="40"/>
      <w:szCs w:val="28"/>
    </w:rPr>
  </w:style>
  <w:style w:type="paragraph" w:styleId="Heading2">
    <w:name w:val="heading 2"/>
    <w:basedOn w:val="Heading1"/>
    <w:next w:val="Normal"/>
    <w:link w:val="Heading2Char"/>
    <w:qFormat/>
    <w:rsid w:val="00B46C0A"/>
    <w:pPr>
      <w:spacing w:after="200"/>
      <w:outlineLvl w:val="1"/>
    </w:pPr>
    <w:rPr>
      <w:rFonts w:cs="Arial"/>
      <w:iCs/>
      <w:sz w:val="28"/>
    </w:rPr>
  </w:style>
  <w:style w:type="paragraph" w:styleId="Heading3">
    <w:name w:val="heading 3"/>
    <w:basedOn w:val="Heading2"/>
    <w:next w:val="Normal"/>
    <w:link w:val="Heading3Char"/>
    <w:qFormat/>
    <w:rsid w:val="00155112"/>
    <w:pPr>
      <w:pBdr>
        <w:bottom w:val="single" w:sz="4" w:space="1" w:color="auto"/>
      </w:pBdr>
      <w:outlineLvl w:val="2"/>
    </w:pPr>
  </w:style>
  <w:style w:type="paragraph" w:styleId="Heading4">
    <w:name w:val="heading 4"/>
    <w:basedOn w:val="Heading"/>
    <w:next w:val="Normal"/>
    <w:link w:val="Heading4Char"/>
    <w:qFormat/>
    <w:rsid w:val="00013550"/>
    <w:pPr>
      <w:ind w:left="930" w:hanging="93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C0A"/>
    <w:rPr>
      <w:rFonts w:ascii="Arial" w:hAnsi="Arial"/>
      <w:b/>
      <w:bCs/>
      <w:caps/>
      <w:color w:val="000000"/>
      <w:sz w:val="40"/>
      <w:szCs w:val="28"/>
    </w:rPr>
  </w:style>
  <w:style w:type="character" w:customStyle="1" w:styleId="Heading2Char">
    <w:name w:val="Heading 2 Char"/>
    <w:basedOn w:val="DefaultParagraphFont"/>
    <w:link w:val="Heading2"/>
    <w:rsid w:val="00B46C0A"/>
    <w:rPr>
      <w:rFonts w:ascii="Arial" w:hAnsi="Arial" w:cs="Arial"/>
      <w:b/>
      <w:bCs/>
      <w:iCs/>
      <w:caps/>
      <w:color w:val="000000"/>
      <w:sz w:val="28"/>
      <w:szCs w:val="28"/>
    </w:rPr>
  </w:style>
  <w:style w:type="character" w:customStyle="1" w:styleId="Heading3Char">
    <w:name w:val="Heading 3 Char"/>
    <w:basedOn w:val="DefaultParagraphFont"/>
    <w:link w:val="Heading3"/>
    <w:rsid w:val="00155112"/>
    <w:rPr>
      <w:rFonts w:cs="Arial"/>
      <w:b/>
      <w:bCs/>
      <w:iCs/>
      <w:caps/>
      <w:color w:val="000000"/>
      <w:sz w:val="28"/>
      <w:szCs w:val="28"/>
    </w:rPr>
  </w:style>
  <w:style w:type="character" w:customStyle="1" w:styleId="Heading4Char">
    <w:name w:val="Heading 4 Char"/>
    <w:basedOn w:val="DefaultParagraphFont"/>
    <w:link w:val="Heading4"/>
    <w:rsid w:val="00013550"/>
    <w:rPr>
      <w:rFonts w:eastAsiaTheme="minorHAnsi" w:cstheme="minorBidi"/>
      <w:b/>
      <w:sz w:val="24"/>
      <w:lang w:eastAsia="en-US"/>
    </w:rPr>
  </w:style>
  <w:style w:type="paragraph" w:customStyle="1" w:styleId="NumberedFirstLevel">
    <w:name w:val="Numbered First Level"/>
    <w:basedOn w:val="Normal"/>
    <w:qFormat/>
    <w:rsid w:val="00B46C0A"/>
    <w:pPr>
      <w:numPr>
        <w:ilvl w:val="1"/>
        <w:numId w:val="30"/>
      </w:numPr>
      <w:spacing w:after="120"/>
    </w:pPr>
  </w:style>
  <w:style w:type="paragraph" w:customStyle="1" w:styleId="NormalDotPoint">
    <w:name w:val="Normal Dot Point"/>
    <w:basedOn w:val="Normal"/>
    <w:qFormat/>
    <w:rsid w:val="00517FA8"/>
    <w:pPr>
      <w:numPr>
        <w:numId w:val="10"/>
      </w:numPr>
      <w:spacing w:after="60"/>
    </w:pPr>
  </w:style>
  <w:style w:type="paragraph" w:customStyle="1" w:styleId="NormalNotes">
    <w:name w:val="Normal Notes"/>
    <w:basedOn w:val="Normal"/>
    <w:qFormat/>
    <w:rsid w:val="00B46C0A"/>
    <w:pPr>
      <w:ind w:left="720" w:hanging="720"/>
    </w:pPr>
    <w:rPr>
      <w:sz w:val="18"/>
    </w:rPr>
  </w:style>
  <w:style w:type="paragraph" w:customStyle="1" w:styleId="NumberedSecondLevel">
    <w:name w:val="Numbered Second Level"/>
    <w:basedOn w:val="NumberedFirstLevel"/>
    <w:qFormat/>
    <w:rsid w:val="00B46C0A"/>
    <w:pPr>
      <w:numPr>
        <w:ilvl w:val="2"/>
      </w:numPr>
    </w:pPr>
  </w:style>
  <w:style w:type="paragraph" w:customStyle="1" w:styleId="NumberedThirdLevel">
    <w:name w:val="Numbered Third Level"/>
    <w:basedOn w:val="NumberedSecondLevel"/>
    <w:qFormat/>
    <w:rsid w:val="00B46C0A"/>
    <w:pPr>
      <w:numPr>
        <w:ilvl w:val="3"/>
      </w:numPr>
    </w:pPr>
  </w:style>
  <w:style w:type="paragraph" w:customStyle="1" w:styleId="Heading">
    <w:name w:val="Heading"/>
    <w:basedOn w:val="Normal"/>
    <w:next w:val="Normal"/>
    <w:qFormat/>
    <w:rsid w:val="00C53743"/>
    <w:pPr>
      <w:keepNext/>
      <w:keepLines/>
      <w:tabs>
        <w:tab w:val="left" w:pos="567"/>
        <w:tab w:val="left" w:pos="1701"/>
      </w:tabs>
      <w:spacing w:before="480"/>
    </w:pPr>
    <w:rPr>
      <w:b/>
      <w:sz w:val="24"/>
    </w:rPr>
  </w:style>
  <w:style w:type="paragraph" w:styleId="TOC1">
    <w:name w:val="toc 1"/>
    <w:basedOn w:val="Normal"/>
    <w:next w:val="Normal"/>
    <w:autoRedefine/>
    <w:uiPriority w:val="39"/>
    <w:rsid w:val="00B46C0A"/>
    <w:pPr>
      <w:spacing w:before="120" w:after="120"/>
    </w:pPr>
    <w:rPr>
      <w:b/>
    </w:rPr>
  </w:style>
  <w:style w:type="paragraph" w:styleId="TOC2">
    <w:name w:val="toc 2"/>
    <w:basedOn w:val="Normal"/>
    <w:next w:val="Normal"/>
    <w:autoRedefine/>
    <w:uiPriority w:val="39"/>
    <w:rsid w:val="00517FA8"/>
    <w:pPr>
      <w:tabs>
        <w:tab w:val="left" w:pos="600"/>
        <w:tab w:val="right" w:leader="dot" w:pos="7926"/>
      </w:tabs>
      <w:spacing w:after="0"/>
    </w:pPr>
    <w:rPr>
      <w:b/>
      <w:szCs w:val="22"/>
    </w:rPr>
  </w:style>
  <w:style w:type="paragraph" w:styleId="TOC3">
    <w:name w:val="toc 3"/>
    <w:basedOn w:val="Normal"/>
    <w:next w:val="Normal"/>
    <w:autoRedefine/>
    <w:uiPriority w:val="39"/>
    <w:rsid w:val="002877C6"/>
    <w:pPr>
      <w:tabs>
        <w:tab w:val="left" w:pos="800"/>
        <w:tab w:val="right" w:leader="dot" w:pos="7926"/>
      </w:tabs>
      <w:spacing w:after="0"/>
      <w:ind w:left="403"/>
    </w:pPr>
  </w:style>
  <w:style w:type="paragraph" w:styleId="TOC4">
    <w:name w:val="toc 4"/>
    <w:basedOn w:val="Normal"/>
    <w:next w:val="Normal"/>
    <w:autoRedefine/>
    <w:rsid w:val="00B46C0A"/>
    <w:pPr>
      <w:ind w:left="600"/>
    </w:pPr>
  </w:style>
  <w:style w:type="paragraph" w:styleId="TOC5">
    <w:name w:val="toc 5"/>
    <w:basedOn w:val="Normal"/>
    <w:next w:val="Normal"/>
    <w:autoRedefine/>
    <w:rsid w:val="00B46C0A"/>
    <w:pPr>
      <w:ind w:left="800"/>
    </w:pPr>
  </w:style>
  <w:style w:type="paragraph" w:styleId="TOC6">
    <w:name w:val="toc 6"/>
    <w:basedOn w:val="Normal"/>
    <w:next w:val="Normal"/>
    <w:autoRedefine/>
    <w:rsid w:val="00B46C0A"/>
    <w:pPr>
      <w:ind w:left="1000"/>
    </w:pPr>
  </w:style>
  <w:style w:type="paragraph" w:styleId="TOC7">
    <w:name w:val="toc 7"/>
    <w:basedOn w:val="Normal"/>
    <w:next w:val="Normal"/>
    <w:autoRedefine/>
    <w:rsid w:val="00B46C0A"/>
    <w:pPr>
      <w:ind w:left="1200"/>
    </w:pPr>
  </w:style>
  <w:style w:type="paragraph" w:styleId="TOC8">
    <w:name w:val="toc 8"/>
    <w:basedOn w:val="Normal"/>
    <w:next w:val="Normal"/>
    <w:autoRedefine/>
    <w:rsid w:val="00B46C0A"/>
    <w:pPr>
      <w:ind w:left="1400"/>
    </w:pPr>
  </w:style>
  <w:style w:type="paragraph" w:styleId="TOC9">
    <w:name w:val="toc 9"/>
    <w:basedOn w:val="Normal"/>
    <w:next w:val="Normal"/>
    <w:autoRedefine/>
    <w:rsid w:val="00B46C0A"/>
    <w:pPr>
      <w:ind w:left="1600"/>
    </w:pPr>
  </w:style>
  <w:style w:type="paragraph" w:styleId="Header">
    <w:name w:val="header"/>
    <w:basedOn w:val="Normal"/>
    <w:link w:val="HeaderChar"/>
    <w:rsid w:val="00B46C0A"/>
    <w:pPr>
      <w:tabs>
        <w:tab w:val="center" w:pos="4320"/>
        <w:tab w:val="right" w:pos="8640"/>
      </w:tabs>
      <w:spacing w:after="0"/>
    </w:pPr>
  </w:style>
  <w:style w:type="character" w:customStyle="1" w:styleId="HeaderChar">
    <w:name w:val="Header Char"/>
    <w:basedOn w:val="DefaultParagraphFont"/>
    <w:link w:val="Header"/>
    <w:rsid w:val="00B46C0A"/>
    <w:rPr>
      <w:rFonts w:ascii="Arial" w:hAnsi="Arial"/>
      <w:sz w:val="20"/>
    </w:rPr>
  </w:style>
  <w:style w:type="paragraph" w:styleId="Footer">
    <w:name w:val="footer"/>
    <w:basedOn w:val="Normal"/>
    <w:link w:val="FooterChar"/>
    <w:rsid w:val="000015EA"/>
    <w:pPr>
      <w:tabs>
        <w:tab w:val="center" w:pos="4320"/>
        <w:tab w:val="right" w:pos="8640"/>
      </w:tabs>
    </w:pPr>
    <w:rPr>
      <w:sz w:val="16"/>
    </w:rPr>
  </w:style>
  <w:style w:type="character" w:customStyle="1" w:styleId="FooterChar">
    <w:name w:val="Footer Char"/>
    <w:basedOn w:val="DefaultParagraphFont"/>
    <w:link w:val="Footer"/>
    <w:rsid w:val="000015EA"/>
    <w:rPr>
      <w:rFonts w:eastAsiaTheme="minorHAnsi" w:cstheme="minorBidi"/>
      <w:sz w:val="16"/>
      <w:lang w:eastAsia="en-US"/>
    </w:rPr>
  </w:style>
  <w:style w:type="character" w:styleId="Hyperlink">
    <w:name w:val="Hyperlink"/>
    <w:basedOn w:val="DefaultParagraphFont"/>
    <w:rsid w:val="00B46C0A"/>
    <w:rPr>
      <w:color w:val="0000FF" w:themeColor="hyperlink"/>
      <w:u w:val="single"/>
    </w:rPr>
  </w:style>
  <w:style w:type="paragraph" w:styleId="BalloonText">
    <w:name w:val="Balloon Text"/>
    <w:basedOn w:val="Normal"/>
    <w:link w:val="BalloonTextChar"/>
    <w:rsid w:val="00B46C0A"/>
    <w:pPr>
      <w:spacing w:after="0"/>
    </w:pPr>
    <w:rPr>
      <w:rFonts w:ascii="Tahoma" w:hAnsi="Tahoma" w:cs="Tahoma"/>
      <w:sz w:val="16"/>
      <w:szCs w:val="16"/>
    </w:rPr>
  </w:style>
  <w:style w:type="character" w:customStyle="1" w:styleId="BalloonTextChar">
    <w:name w:val="Balloon Text Char"/>
    <w:basedOn w:val="DefaultParagraphFont"/>
    <w:link w:val="BalloonText"/>
    <w:rsid w:val="00B46C0A"/>
    <w:rPr>
      <w:rFonts w:ascii="Tahoma" w:hAnsi="Tahoma" w:cs="Tahoma"/>
      <w:sz w:val="16"/>
      <w:szCs w:val="16"/>
    </w:rPr>
  </w:style>
  <w:style w:type="table" w:styleId="TableGrid">
    <w:name w:val="Table Grid"/>
    <w:basedOn w:val="TableNormal"/>
    <w:rsid w:val="00B46C0A"/>
    <w:tblPr/>
  </w:style>
  <w:style w:type="paragraph" w:styleId="ListParagraph">
    <w:name w:val="List Paragraph"/>
    <w:basedOn w:val="Normal"/>
    <w:rsid w:val="00B46C0A"/>
    <w:pPr>
      <w:ind w:left="720"/>
      <w:contextualSpacing/>
    </w:pPr>
  </w:style>
  <w:style w:type="paragraph" w:customStyle="1" w:styleId="TemplateInstructions">
    <w:name w:val="Template Instructions"/>
    <w:basedOn w:val="Normal"/>
    <w:rsid w:val="00013550"/>
    <w:pPr>
      <w:spacing w:before="120" w:after="120"/>
    </w:pPr>
    <w:rPr>
      <w:i/>
      <w:color w:val="0070C0"/>
    </w:rPr>
  </w:style>
  <w:style w:type="paragraph" w:customStyle="1" w:styleId="NormalAdministrativeNotes">
    <w:name w:val="Normal Administrative Notes"/>
    <w:basedOn w:val="Normal"/>
    <w:rsid w:val="00C53743"/>
    <w:pPr>
      <w:tabs>
        <w:tab w:val="left" w:pos="2127"/>
      </w:tabs>
      <w:ind w:left="2127" w:hanging="2127"/>
    </w:pPr>
  </w:style>
  <w:style w:type="paragraph" w:customStyle="1" w:styleId="TemplateInstructionsHeading1">
    <w:name w:val="Template Instructions Heading 1"/>
    <w:basedOn w:val="Heading2"/>
    <w:rsid w:val="00140B1C"/>
    <w:rPr>
      <w:color w:val="0070C0"/>
    </w:rPr>
  </w:style>
  <w:style w:type="character" w:styleId="CommentReference">
    <w:name w:val="annotation reference"/>
    <w:basedOn w:val="DefaultParagraphFont"/>
    <w:semiHidden/>
    <w:unhideWhenUsed/>
    <w:locked/>
    <w:rsid w:val="0067628A"/>
    <w:rPr>
      <w:sz w:val="16"/>
      <w:szCs w:val="16"/>
    </w:rPr>
  </w:style>
  <w:style w:type="paragraph" w:styleId="CommentText">
    <w:name w:val="annotation text"/>
    <w:basedOn w:val="Normal"/>
    <w:link w:val="CommentTextChar"/>
    <w:semiHidden/>
    <w:unhideWhenUsed/>
    <w:locked/>
    <w:rsid w:val="0067628A"/>
  </w:style>
  <w:style w:type="character" w:customStyle="1" w:styleId="CommentTextChar">
    <w:name w:val="Comment Text Char"/>
    <w:basedOn w:val="DefaultParagraphFont"/>
    <w:link w:val="CommentText"/>
    <w:semiHidden/>
    <w:rsid w:val="0067628A"/>
    <w:rPr>
      <w:rFonts w:eastAsiaTheme="minorHAnsi" w:cstheme="minorBidi"/>
      <w:lang w:eastAsia="en-US"/>
    </w:rPr>
  </w:style>
  <w:style w:type="paragraph" w:styleId="CommentSubject">
    <w:name w:val="annotation subject"/>
    <w:basedOn w:val="CommentText"/>
    <w:next w:val="CommentText"/>
    <w:link w:val="CommentSubjectChar"/>
    <w:semiHidden/>
    <w:unhideWhenUsed/>
    <w:locked/>
    <w:rsid w:val="0067628A"/>
    <w:rPr>
      <w:b/>
      <w:bCs/>
    </w:rPr>
  </w:style>
  <w:style w:type="character" w:customStyle="1" w:styleId="CommentSubjectChar">
    <w:name w:val="Comment Subject Char"/>
    <w:basedOn w:val="CommentTextChar"/>
    <w:link w:val="CommentSubject"/>
    <w:semiHidden/>
    <w:rsid w:val="0067628A"/>
    <w:rPr>
      <w:rFonts w:eastAsiaTheme="minorHAnsi" w:cstheme="minorBidi"/>
      <w:b/>
      <w:bCs/>
      <w:lang w:eastAsia="en-US"/>
    </w:rPr>
  </w:style>
  <w:style w:type="paragraph" w:styleId="Revision">
    <w:name w:val="Revision"/>
    <w:hidden/>
    <w:uiPriority w:val="99"/>
    <w:semiHidden/>
    <w:rsid w:val="00BF3DF9"/>
    <w:rPr>
      <w:rFonts w:eastAsiaTheme="minorHAnsi" w:cstheme="minorBidi"/>
      <w:lang w:eastAsia="en-US"/>
    </w:rPr>
  </w:style>
  <w:style w:type="character" w:styleId="UnresolvedMention">
    <w:name w:val="Unresolved Mention"/>
    <w:basedOn w:val="DefaultParagraphFont"/>
    <w:uiPriority w:val="99"/>
    <w:semiHidden/>
    <w:unhideWhenUsed/>
    <w:rsid w:val="006547CF"/>
    <w:rPr>
      <w:color w:val="605E5C"/>
      <w:shd w:val="clear" w:color="auto" w:fill="E1DFDD"/>
    </w:rPr>
  </w:style>
  <w:style w:type="character" w:styleId="FollowedHyperlink">
    <w:name w:val="FollowedHyperlink"/>
    <w:basedOn w:val="DefaultParagraphFont"/>
    <w:semiHidden/>
    <w:unhideWhenUsed/>
    <w:locked/>
    <w:rsid w:val="003D38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2063">
      <w:bodyDiv w:val="1"/>
      <w:marLeft w:val="0"/>
      <w:marRight w:val="0"/>
      <w:marTop w:val="0"/>
      <w:marBottom w:val="0"/>
      <w:divBdr>
        <w:top w:val="none" w:sz="0" w:space="0" w:color="auto"/>
        <w:left w:val="none" w:sz="0" w:space="0" w:color="auto"/>
        <w:bottom w:val="none" w:sz="0" w:space="0" w:color="auto"/>
        <w:right w:val="none" w:sz="0" w:space="0" w:color="auto"/>
      </w:divBdr>
    </w:div>
    <w:div w:id="562720873">
      <w:bodyDiv w:val="1"/>
      <w:marLeft w:val="0"/>
      <w:marRight w:val="0"/>
      <w:marTop w:val="0"/>
      <w:marBottom w:val="0"/>
      <w:divBdr>
        <w:top w:val="none" w:sz="0" w:space="0" w:color="auto"/>
        <w:left w:val="none" w:sz="0" w:space="0" w:color="auto"/>
        <w:bottom w:val="none" w:sz="0" w:space="0" w:color="auto"/>
        <w:right w:val="none" w:sz="0" w:space="0" w:color="auto"/>
      </w:divBdr>
    </w:div>
    <w:div w:id="859972926">
      <w:bodyDiv w:val="1"/>
      <w:marLeft w:val="0"/>
      <w:marRight w:val="0"/>
      <w:marTop w:val="0"/>
      <w:marBottom w:val="0"/>
      <w:divBdr>
        <w:top w:val="none" w:sz="0" w:space="0" w:color="auto"/>
        <w:left w:val="none" w:sz="0" w:space="0" w:color="auto"/>
        <w:bottom w:val="none" w:sz="0" w:space="0" w:color="auto"/>
        <w:right w:val="none" w:sz="0" w:space="0" w:color="auto"/>
      </w:divBdr>
    </w:div>
    <w:div w:id="1452937907">
      <w:bodyDiv w:val="1"/>
      <w:marLeft w:val="0"/>
      <w:marRight w:val="0"/>
      <w:marTop w:val="0"/>
      <w:marBottom w:val="0"/>
      <w:divBdr>
        <w:top w:val="none" w:sz="0" w:space="0" w:color="auto"/>
        <w:left w:val="none" w:sz="0" w:space="0" w:color="auto"/>
        <w:bottom w:val="none" w:sz="0" w:space="0" w:color="auto"/>
        <w:right w:val="none" w:sz="0" w:space="0" w:color="auto"/>
      </w:divBdr>
    </w:div>
    <w:div w:id="1533881279">
      <w:bodyDiv w:val="1"/>
      <w:marLeft w:val="0"/>
      <w:marRight w:val="0"/>
      <w:marTop w:val="0"/>
      <w:marBottom w:val="0"/>
      <w:divBdr>
        <w:top w:val="none" w:sz="0" w:space="0" w:color="auto"/>
        <w:left w:val="none" w:sz="0" w:space="0" w:color="auto"/>
        <w:bottom w:val="none" w:sz="0" w:space="0" w:color="auto"/>
        <w:right w:val="none" w:sz="0" w:space="0" w:color="auto"/>
      </w:divBdr>
    </w:div>
    <w:div w:id="205665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nsw.gov.au/" TargetMode="External"/><Relationship Id="rId18" Type="http://schemas.openxmlformats.org/officeDocument/2006/relationships/hyperlink" Target="mailto:privacy.enquiries@sydney.edu.au" TargetMode="External"/><Relationship Id="rId26" Type="http://schemas.openxmlformats.org/officeDocument/2006/relationships/hyperlink" Target="mailto:privacy.enquiries@sydney.edu.au" TargetMode="External"/><Relationship Id="rId21" Type="http://schemas.openxmlformats.org/officeDocument/2006/relationships/hyperlink" Target="https://www.ipc.nsw.gov.au/sites/default/files/file_manager/Statutory%20Guidelines%20on%20Research%20under%20the%20PPIP%20Act%20September%202016.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legislation.nsw.gov.au/" TargetMode="External"/><Relationship Id="rId17" Type="http://schemas.openxmlformats.org/officeDocument/2006/relationships/hyperlink" Target="https://www.sydney.edu.au/policies/showdoc.aspx?recnum=PDOC2023/551&amp;RendNum=0" TargetMode="External"/><Relationship Id="rId25" Type="http://schemas.openxmlformats.org/officeDocument/2006/relationships/hyperlink" Target="mailto:ict.support@sydney.edu.a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egislation.nsw.gov.au/" TargetMode="External"/><Relationship Id="rId20" Type="http://schemas.openxmlformats.org/officeDocument/2006/relationships/hyperlink" Target="https://www.ipc.nsw.gov.au/sites/default/files/file_manager/privacy_statutory_guidelines_research.pdf" TargetMode="External"/><Relationship Id="rId29" Type="http://schemas.openxmlformats.org/officeDocument/2006/relationships/hyperlink" Target="https://www.sydney.edu.au/policies/showdoc.aspx?recnum=PDOC2023/551&amp;RendNum=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dney.edu.au/policies/showdoc.aspx?recnum=PDOC2023/551&amp;RendNum=0" TargetMode="External"/><Relationship Id="rId24" Type="http://schemas.openxmlformats.org/officeDocument/2006/relationships/hyperlink" Target="https://intranet.sydney.edu.au/services/student-support.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nsw.gov.au/" TargetMode="External"/><Relationship Id="rId23" Type="http://schemas.openxmlformats.org/officeDocument/2006/relationships/hyperlink" Target="https://www.legislation.gov.au/Details/F2014L00243/Incorporated%20Document/Text" TargetMode="External"/><Relationship Id="rId28" Type="http://schemas.openxmlformats.org/officeDocument/2006/relationships/hyperlink" Target="https://www.sydney.edu.au/policies/showdoc.aspx?recnum=PDOC2011/81&amp;RendNum=0" TargetMode="External"/><Relationship Id="rId36" Type="http://schemas.openxmlformats.org/officeDocument/2006/relationships/fontTable" Target="fontTable.xml"/><Relationship Id="rId10" Type="http://schemas.openxmlformats.org/officeDocument/2006/relationships/hyperlink" Target="https://www.legislation.nsw.gov.au/" TargetMode="External"/><Relationship Id="rId19" Type="http://schemas.openxmlformats.org/officeDocument/2006/relationships/hyperlink" Target="https://intranet.sydney.edu.au/services/buying-leasing-paying/buying/templates.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egislation.nsw.gov.au/" TargetMode="External"/><Relationship Id="rId14" Type="http://schemas.openxmlformats.org/officeDocument/2006/relationships/hyperlink" Target="https://www.legislation.nsw.gov.au/" TargetMode="External"/><Relationship Id="rId22" Type="http://schemas.openxmlformats.org/officeDocument/2006/relationships/hyperlink" Target="https://www.legislation.gov.au/Details/F2014L01500/Html/Volume_2" TargetMode="External"/><Relationship Id="rId27" Type="http://schemas.openxmlformats.org/officeDocument/2006/relationships/hyperlink" Target="https://www.sydney.edu.au/policies/showdoc.aspx?recnum=PDOC2023/551&amp;RendNum=0"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sydney.edu.au/policies/showdoc.aspx?recnum=PDOC2011/81&amp;RendNum=0"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ER~1\AppData\Local\Temp\20142802-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647A-B47A-4B11-AFF4-CE26CAE1F062}">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20142802-Procedure-Template</Template>
  <TotalTime>21</TotalTime>
  <Pages>8</Pages>
  <Words>2066</Words>
  <Characters>13230</Characters>
  <Application>Microsoft Office Word</Application>
  <DocSecurity>0</DocSecurity>
  <Lines>378</Lines>
  <Paragraphs>294</Paragraphs>
  <ScaleCrop>false</ScaleCrop>
  <HeadingPairs>
    <vt:vector size="2" baseType="variant">
      <vt:variant>
        <vt:lpstr>Title</vt:lpstr>
      </vt:variant>
      <vt:variant>
        <vt:i4>1</vt:i4>
      </vt:variant>
    </vt:vector>
  </HeadingPairs>
  <TitlesOfParts>
    <vt:vector size="1" baseType="lpstr">
      <vt:lpstr>Privacy Procedures 2018</vt:lpstr>
    </vt:vector>
  </TitlesOfParts>
  <Company>University of Sydney</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Procedures 2023</dc:title>
  <dc:subject>Privacy Procedures 2023</dc:subject>
  <dc:creator>policy.register@sydney.edu.au</dc:creator>
  <cp:lastModifiedBy>Rachel Symons</cp:lastModifiedBy>
  <cp:revision>7</cp:revision>
  <cp:lastPrinted>2023-12-07T04:33:00Z</cp:lastPrinted>
  <dcterms:created xsi:type="dcterms:W3CDTF">2023-12-13T05:13:00Z</dcterms:created>
  <dcterms:modified xsi:type="dcterms:W3CDTF">2023-12-20T00:25:00Z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22934/674841_1</vt:lpwstr>
  </property>
</Properties>
</file>